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VEYRA Dry Hire Master Framework Agreement</w:t>
      </w:r>
    </w:p>
    <w:p>
      <w:pPr>
        <w:keepLines/>
      </w:pPr>
      <w:r>
        <w:rPr>
          <w:b/>
        </w:rPr>
        <w:t>Plant equipment tooling lifting equipment and vehicles</w:t>
      </w:r>
    </w:p>
    <w:p>
      <w:pPr>
        <w:keepLines/>
      </w:pPr>
      <w:r>
        <w:t>Australian business hire edition  |  Version 0.3  |  4 October 2026</w:t>
      </w:r>
    </w:p>
    <w:p>
      <w:pPr>
        <w:keepLines/>
      </w:pPr>
      <w:r>
        <w:rPr>
          <w:b/>
        </w:rPr>
        <w:t>DRAFT FOR COMMERCIAL AND AUSTRALIAN LEGAL REVIEW</w:t>
      </w:r>
    </w:p>
    <w:p>
      <w:pPr>
        <w:keepLines/>
      </w:pPr>
      <w:r>
        <w:rPr>
          <w:b w:val="0"/>
        </w:rPr>
        <w:t>This framework establishes common conditions for dry hire through VEYRA. Each supplier sets its own prices, but must quote the same requested scope, disclose compulsory and conditional charges, and obtain approval for changes. A separate Hire Order records the equipment, dates, location, price and responsibilities for each booking.</w:t>
      </w:r>
    </w:p>
    <w:p>
      <w:pPr>
        <w:keepLines/>
      </w:pPr>
      <w:r>
        <w:rPr>
          <w:b w:val="0"/>
        </w:rPr>
        <w:t>The framework covers handheld tooling, lifting gear, excavators, 4x4 utilities, trucks requiring LR, MR, HR or HC licences, cranes and other approved plant. Dry hire means equipment supplied without an operator. Transport, assembly or commissioning may be included only where expressly scoped.</w:t>
      </w:r>
    </w:p>
    <w:p>
      <w:pPr>
        <w:keepLines/>
      </w:pPr>
      <w:r>
        <w:rPr>
          <w:b w:val="0"/>
        </w:rPr>
        <w:t>This version is a proposed starting agreement. Complete the mandatory schedules and resolve the review items before issue for signature. It has not been approved by an Australian solicitor or insurance broker. The review annex is not part of the contract.</w:t>
      </w:r>
    </w:p>
    <w:p>
      <w:pPr>
        <w:pStyle w:val="Heading1"/>
      </w:pPr>
      <w:r>
        <w:t>Agreement particulars</w:t>
      </w:r>
    </w:p>
    <w:tbl>
      <w:tblPr>
        <w:tblW w:type="auto" w:w="0"/>
        <w:jc w:val="center"/>
        <w:tblLayout w:type="fixed"/>
        <w:tblLook w:firstColumn="1" w:firstRow="1" w:lastColumn="0" w:lastRow="0" w:noHBand="0" w:noVBand="1" w:val="04A0"/>
      </w:tblPr>
      <w:tblGrid>
        <w:gridCol w:w="2592"/>
        <w:gridCol w:w="7344"/>
      </w:tblGrid>
      <w:tr>
        <w:trPr>
          <w:cantSplit/>
          <w:tblHeader/>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Field</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Details to complete</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Framework identifier</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VEYRA DH MFA [insert number]</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Platform operator</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[Insert verified VEYRA contracting entity, ACN or ABN, registered address and notice email]</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Supplier</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As identified in signed Schedule 1</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Hirer</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As identified and accepted in each Hire Order</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Proposed governing law</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South Australia, subject to mandatory laws applying elsewhere</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Effective date and version</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[Insert date]  |  Accepted contract version [insert]</w:t>
            </w:r>
          </w:p>
        </w:tc>
      </w:tr>
      <w:tr>
        <w:trPr>
          <w:cantSplit/>
        </w:trPr>
        <w:tc>
          <w:tcPr>
            <w:tcW w:type="dxa" w:w="259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Operational contacts</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Platform support [insert]  |  Supplier emergency support in Schedule 1</w:t>
            </w:r>
          </w:p>
        </w:tc>
      </w:tr>
    </w:tbl>
    <w:p>
      <w:pPr>
        <w:keepLines/>
      </w:pPr>
      <w:r>
        <w:rPr>
          <w:b w:val="0"/>
        </w:rPr>
      </w:r>
    </w:p>
    <w:p>
      <w:pPr>
        <w:pStyle w:val="Heading1"/>
      </w:pPr>
      <w:r>
        <w:t>Contract documents</w:t>
      </w:r>
    </w:p>
    <w:p>
      <w:pPr>
        <w:keepLines/>
      </w:pPr>
      <w:r>
        <w:rPr>
          <w:b w:val="0"/>
        </w:rPr>
        <w:t>Clauses 1 to 27 contain the master terms. Schedule 1 admits a supplier. Schedule 2 creates each booking. Schedule 3 records all pricing rules. Schedule 4 contains category requirements. Schedule 5 records handover and return. Schedule 6 records variations and incidents. The final review annex records decisions and legal sources for the drafting team.</w:t>
      </w:r>
    </w:p>
    <w:p>
      <w:pPr>
        <w:pStyle w:val="Heading1"/>
        <w:pageBreakBefore/>
      </w:pPr>
      <w:r>
        <w:t>Master terms</w:t>
      </w:r>
    </w:p>
    <w:p>
      <w:pPr>
        <w:pStyle w:val="Heading2"/>
      </w:pPr>
      <w:r>
        <w:t>1 Definitions</w:t>
      </w:r>
    </w:p>
    <w:p>
      <w:pPr>
        <w:keepLines/>
      </w:pPr>
      <w:r>
        <w:rPr>
          <w:b w:val="0"/>
        </w:rPr>
      </w:r>
      <w:r>
        <w:rPr>
          <w:b/>
        </w:rPr>
        <w:t xml:space="preserve">1.1  </w:t>
      </w:r>
      <w:r>
        <w:t>VEYRA means the platform operator named in the Agreement particulars. Supplier means the entity admitted under Schedule 1. Hirer means the entity named in a Hire Order. A party means one of those entities to the extent it has entered the relevant agreement.</w:t>
      </w:r>
    </w:p>
    <w:p>
      <w:pPr>
        <w:keepLines/>
      </w:pPr>
      <w:r>
        <w:rPr>
          <w:b w:val="0"/>
        </w:rPr>
      </w:r>
      <w:r>
        <w:rPr>
          <w:b/>
        </w:rPr>
        <w:t xml:space="preserve">1.2  </w:t>
      </w:r>
      <w:r>
        <w:t>Equipment means each identified item, attachment, accessory, key, battery, charger, manual and document included in a Hire Order. Dry Hire excludes labour to operate the Equipment. An Approved User is a person authorised by the Hirer who meets the legal, competency and disclosed insurance requirements for the task.</w:t>
      </w:r>
    </w:p>
    <w:p>
      <w:pPr>
        <w:keepLines/>
      </w:pPr>
      <w:r>
        <w:rPr>
          <w:b w:val="0"/>
        </w:rPr>
      </w:r>
      <w:r>
        <w:rPr>
          <w:b/>
        </w:rPr>
        <w:t xml:space="preserve">1.3  </w:t>
      </w:r>
      <w:r>
        <w:t>Hire Order means Schedule 2 or its complete electronic equivalent accepted under clause 2. Contract means that Hire Order together with the accepted framework and applicable schedules. A Variation is an expressly accepted change recorded under clause 9.</w:t>
      </w:r>
    </w:p>
    <w:p>
      <w:pPr>
        <w:keepLines/>
      </w:pPr>
      <w:r>
        <w:rPr>
          <w:b w:val="0"/>
        </w:rPr>
      </w:r>
      <w:r>
        <w:rPr>
          <w:b/>
        </w:rPr>
        <w:t xml:space="preserve">1.4  </w:t>
      </w:r>
      <w:r>
        <w:t>Business Day means a day other than a Saturday, Sunday or public holiday at the hire site. Times use the hire site time zone. Fair Wear means deterioration reasonably expected from proper use over the agreed hire, having regard to age, condition, operating hours and manufacturer guidance. It excludes avoidable misuse damage.</w:t>
      </w:r>
    </w:p>
    <w:p>
      <w:pPr>
        <w:pStyle w:val="Heading2"/>
      </w:pPr>
      <w:r>
        <w:t>2 Formation and the role of each party</w:t>
      </w:r>
    </w:p>
    <w:p>
      <w:pPr>
        <w:keepLines/>
      </w:pPr>
      <w:r>
        <w:rPr>
          <w:b w:val="0"/>
        </w:rPr>
      </w:r>
      <w:r>
        <w:rPr>
          <w:b/>
        </w:rPr>
        <w:t xml:space="preserve">2.1  </w:t>
      </w:r>
      <w:r>
        <w:t>VEYRA and the Supplier enter the supplier framework when their authorised representatives accept Schedule 1 and this identified version. That acceptance does not bind a prospective Hirer or create a booking, exclusivity, minimum spend or guaranteed volume.</w:t>
      </w:r>
    </w:p>
    <w:p>
      <w:pPr>
        <w:keepLines/>
      </w:pPr>
      <w:r>
        <w:rPr>
          <w:b w:val="0"/>
        </w:rPr>
      </w:r>
      <w:r>
        <w:rPr>
          <w:b/>
        </w:rPr>
        <w:t xml:space="preserve">2.2  </w:t>
      </w:r>
      <w:r>
        <w:t>A Hire Order forms when the Supplier and Hirer expressly accept the same complete order and framework version and VEYRA issues a booking confirmation accepting its own stated obligations. Each receives a downloadable copy. The Supplier hires the Equipment directly to the Hirer. VEYRA is a party only to the platform, administration and other obligations expressly allocated to it.</w:t>
      </w:r>
    </w:p>
    <w:p>
      <w:pPr>
        <w:keepLines/>
      </w:pPr>
      <w:r>
        <w:rPr>
          <w:b w:val="0"/>
        </w:rPr>
      </w:r>
      <w:r>
        <w:rPr>
          <w:b/>
        </w:rPr>
        <w:t xml:space="preserve">2.3  </w:t>
      </w:r>
      <w:r>
        <w:t>VEYRA provides sourcing, comparison, booking records and administration. Unless separately agreed in a signed addendum, it is not the Equipment owner, lessor, operator, employer of site personnel, insurer or guarantor of either party. This description does not exclude duties arising from VEYRA's actual conduct, control, representations or applicable law.</w:t>
      </w:r>
    </w:p>
    <w:p>
      <w:pPr>
        <w:keepLines/>
      </w:pPr>
      <w:r>
        <w:rPr>
          <w:b w:val="0"/>
        </w:rPr>
      </w:r>
      <w:r>
        <w:rPr>
          <w:b/>
        </w:rPr>
        <w:t xml:space="preserve">2.4  </w:t>
      </w:r>
      <w:r>
        <w:t>An enquiry, search result, indicative price or availability feed is not a confirmed booking. No authority to charge or dispatch arises merely from an employee requesting a quote. The Hirer must identify authorised approvers and spending limits; VEYRA must apply the recorded approval workflow before confirmation.</w:t>
      </w:r>
    </w:p>
    <w:p>
      <w:pPr>
        <w:keepLines/>
      </w:pPr>
      <w:r>
        <w:rPr>
          <w:b w:val="0"/>
        </w:rPr>
      </w:r>
      <w:r>
        <w:rPr>
          <w:b/>
        </w:rPr>
        <w:t xml:space="preserve">2.5  </w:t>
      </w:r>
      <w:r>
        <w:t>If collection of money is enabled, the Hire Order must identify the creditor, payment recipient and the recipient's collection authority. Cleared payment to an expressly authorised collection agent discharges the payer to that extent. VEYRA does not fund supplier payments unless it separately agrees to do so.</w:t>
      </w:r>
    </w:p>
    <w:p>
      <w:pPr>
        <w:pStyle w:val="Heading2"/>
      </w:pPr>
      <w:r>
        <w:t>3 Precedence and common terms</w:t>
      </w:r>
    </w:p>
    <w:p>
      <w:pPr>
        <w:keepLines/>
      </w:pPr>
      <w:r>
        <w:rPr>
          <w:b w:val="0"/>
        </w:rPr>
      </w:r>
      <w:r>
        <w:rPr>
          <w:b/>
        </w:rPr>
        <w:t xml:space="preserve">3.1  </w:t>
      </w:r>
      <w:r>
        <w:t>Mandatory law prevails. Next come expressly negotiated Variations identifying the clause changed; then the Hire Order commercial particulars; the applicable category requirements in Schedule 4; these master terms; and the remaining completed schedules. A Hire Order changes a master risk or legal provision only if it expressly names that provision and the affected parties accept the change.</w:t>
      </w:r>
    </w:p>
    <w:p>
      <w:pPr>
        <w:keepLines/>
      </w:pPr>
      <w:r>
        <w:rPr>
          <w:b w:val="0"/>
        </w:rPr>
      </w:r>
      <w:r>
        <w:rPr>
          <w:b/>
        </w:rPr>
        <w:t xml:space="preserve">3.2  </w:t>
      </w:r>
      <w:r>
        <w:t>Supplier standard terms, quotation footers, website links, purchase order boilerplate, delivery dockets and return receipts do not add to or override this Contract. A signature acknowledging delivery or condition does not accept additional legal terms or new charges.</w:t>
      </w:r>
    </w:p>
    <w:p>
      <w:pPr>
        <w:keepLines/>
      </w:pPr>
      <w:r>
        <w:rPr>
          <w:b w:val="0"/>
        </w:rPr>
      </w:r>
      <w:r>
        <w:rPr>
          <w:b/>
        </w:rPr>
        <w:t xml:space="preserve">3.3  </w:t>
      </w:r>
      <w:r>
        <w:t>An accepted version remains fixed for that booking. VEYRA must not retrospectively change a Contract by updating its website. Any departure affecting price comparison must be displayed before acceptance and must not be presented as an identical comparison.</w:t>
      </w:r>
    </w:p>
    <w:p>
      <w:pPr>
        <w:pStyle w:val="Heading2"/>
      </w:pPr>
      <w:r>
        <w:t>4 Scope and excluded services</w:t>
      </w:r>
    </w:p>
    <w:p>
      <w:pPr>
        <w:keepLines/>
      </w:pPr>
      <w:r>
        <w:rPr>
          <w:b w:val="0"/>
        </w:rPr>
      </w:r>
      <w:r>
        <w:rPr>
          <w:b/>
        </w:rPr>
        <w:t xml:space="preserve">4.1  </w:t>
      </w:r>
      <w:r>
        <w:t>The applicable categories and permitted use must be selected in the Hire Order. Other plant may be added only after its specifications, applicable safety requirements, insurance and pricing fields have been completed.</w:t>
      </w:r>
    </w:p>
    <w:p>
      <w:pPr>
        <w:keepLines/>
      </w:pPr>
      <w:r>
        <w:rPr>
          <w:b w:val="0"/>
        </w:rPr>
      </w:r>
      <w:r>
        <w:rPr>
          <w:b/>
        </w:rPr>
        <w:t xml:space="preserve">4.2  </w:t>
      </w:r>
      <w:r>
        <w:t>Wet hire, labour hire, lift execution services, engineered temporary works, credit provision, hire purchase and ownership transfer are outside this framework. If requested, they need a separately approved service scope and terms. Delivery or a demonstration does not include ongoing operation or supervision.</w:t>
      </w:r>
    </w:p>
    <w:p>
      <w:pPr>
        <w:pStyle w:val="Heading1"/>
      </w:pPr>
      <w:r>
        <w:t>Supplier and safety obligations</w:t>
      </w:r>
    </w:p>
    <w:p>
      <w:pPr>
        <w:pStyle w:val="Heading2"/>
      </w:pPr>
      <w:r>
        <w:t>5 Supplier admission and continuing qualification</w:t>
      </w:r>
    </w:p>
    <w:p>
      <w:pPr>
        <w:keepLines/>
      </w:pPr>
      <w:r>
        <w:rPr>
          <w:b w:val="0"/>
        </w:rPr>
      </w:r>
      <w:r>
        <w:rPr>
          <w:b/>
        </w:rPr>
        <w:t xml:space="preserve">5.1  </w:t>
      </w:r>
      <w:r>
        <w:t>The Supplier must provide accurate entity and tax details, evidence of ownership or lawful authority to hire, agreed insurance evidence, emergency contacts, relevant licences, equipment records and any restrictions before it is approved for the category. Finance arrangements must not prevent the promised hire or quiet possession.</w:t>
      </w:r>
    </w:p>
    <w:p>
      <w:pPr>
        <w:keepLines/>
      </w:pPr>
      <w:r>
        <w:rPr>
          <w:b w:val="0"/>
        </w:rPr>
      </w:r>
      <w:r>
        <w:rPr>
          <w:b/>
        </w:rPr>
        <w:t xml:space="preserve">5.2  </w:t>
      </w:r>
      <w:r>
        <w:t>The Supplier must maintain those qualifications throughout every hire, promptly disclose suspensions, expiry, recalls and material changes, and suspend affected availability immediately if safe or lawful supply cannot be demonstrated. VEYRA may request proportionate evidence and record the date and scope of its checks.</w:t>
      </w:r>
    </w:p>
    <w:p>
      <w:pPr>
        <w:keepLines/>
      </w:pPr>
      <w:r>
        <w:rPr>
          <w:b w:val="0"/>
        </w:rPr>
      </w:r>
      <w:r>
        <w:rPr>
          <w:b/>
        </w:rPr>
        <w:t xml:space="preserve">5.3  </w:t>
      </w:r>
      <w:r>
        <w:t>Approval means the stated onboarding checks were completed; it is not a guarantee of every item's condition or suitability. VEYRA must accurately describe the checks it performed. The Supplier remains responsible for its representations, personnel and subcontracted performance.</w:t>
      </w:r>
    </w:p>
    <w:p>
      <w:pPr>
        <w:keepLines/>
      </w:pPr>
      <w:r>
        <w:rPr>
          <w:b w:val="0"/>
        </w:rPr>
      </w:r>
      <w:r>
        <w:rPr>
          <w:b/>
        </w:rPr>
        <w:t xml:space="preserve">5.4  </w:t>
      </w:r>
      <w:r>
        <w:t>The Supplier must not substitute an owner, cross-hire source or item without prior disclosure and Hirer acceptance. Approved cross-hire does not reduce the Supplier's Contract obligations or permit another owner's undisclosed terms to apply.</w:t>
      </w:r>
    </w:p>
    <w:p>
      <w:pPr>
        <w:pStyle w:val="Heading2"/>
      </w:pPr>
      <w:r>
        <w:t>6 Equipment condition and documents</w:t>
      </w:r>
    </w:p>
    <w:p>
      <w:pPr>
        <w:keepLines/>
      </w:pPr>
      <w:r>
        <w:rPr>
          <w:b w:val="0"/>
        </w:rPr>
      </w:r>
      <w:r>
        <w:rPr>
          <w:b/>
        </w:rPr>
        <w:t xml:space="preserve">6.1  </w:t>
      </w:r>
      <w:r>
        <w:t>The Supplier must supply the described Equipment in safe working condition, properly maintained, clean to the agreed standard, with guards and safety devices functional, and suitable for any purpose expressly accepted by the Supplier. It must disclose limitations and defects; a disclosed defect cannot justify supplying unsafe Equipment.</w:t>
      </w:r>
    </w:p>
    <w:p>
      <w:pPr>
        <w:keepLines/>
      </w:pPr>
      <w:r>
        <w:rPr>
          <w:b w:val="0"/>
        </w:rPr>
      </w:r>
      <w:r>
        <w:rPr>
          <w:b/>
        </w:rPr>
        <w:t xml:space="preserve">6.2  </w:t>
      </w:r>
      <w:r>
        <w:t>Before handover the Supplier must provide operating instructions, relevant risk and residual hazard information, inspection and service status, required certificates, registration details and the next maintenance or inspection due date. Documents must match the specific asset or assembly. Evidence must remain current throughout use.</w:t>
      </w:r>
    </w:p>
    <w:p>
      <w:pPr>
        <w:keepLines/>
      </w:pPr>
      <w:r>
        <w:rPr>
          <w:b w:val="0"/>
        </w:rPr>
      </w:r>
      <w:r>
        <w:rPr>
          <w:b/>
        </w:rPr>
        <w:t xml:space="preserve">6.3  </w:t>
      </w:r>
      <w:r>
        <w:t>Where law requires plant design or item registration, the Supplier must provide evidence applicable to the supplied configuration. The Hirer must not operate it without required registration, licences, site controls and instructions. A tag or generic certificate does not replace an asset inspection or other required verification.</w:t>
      </w:r>
    </w:p>
    <w:p>
      <w:pPr>
        <w:keepLines/>
      </w:pPr>
      <w:r>
        <w:rPr>
          <w:b w:val="0"/>
        </w:rPr>
      </w:r>
      <w:r>
        <w:rPr>
          <w:b/>
        </w:rPr>
        <w:t xml:space="preserve">6.4  </w:t>
      </w:r>
      <w:r>
        <w:t>Each item must have a traceable asset identity. The parties must record attachments, existing damage, hours or kilometres, fuel or battery level, tyres or tracks, photographs and supplied documents at handover under Schedule 5.</w:t>
      </w:r>
    </w:p>
    <w:p>
      <w:pPr>
        <w:pStyle w:val="Heading2"/>
      </w:pPr>
      <w:r>
        <w:t>7 Safety and competent operation</w:t>
      </w:r>
    </w:p>
    <w:p>
      <w:pPr>
        <w:keepLines/>
      </w:pPr>
      <w:r>
        <w:rPr>
          <w:b w:val="0"/>
        </w:rPr>
      </w:r>
      <w:r>
        <w:rPr>
          <w:b/>
        </w:rPr>
        <w:t xml:space="preserve">7.1  </w:t>
      </w:r>
      <w:r>
        <w:t>Each party must comply with the work health and safety, road transport, environmental and other laws applying to its activities. Duties are not transferred or excluded by this Contract. Parties with overlapping duties must consult, cooperate and coordinate on matters within their control or influence.</w:t>
      </w:r>
    </w:p>
    <w:p>
      <w:pPr>
        <w:keepLines/>
      </w:pPr>
      <w:r>
        <w:rPr>
          <w:b w:val="0"/>
        </w:rPr>
      </w:r>
      <w:r>
        <w:rPr>
          <w:b/>
        </w:rPr>
        <w:t xml:space="preserve">7.2  </w:t>
      </w:r>
      <w:r>
        <w:t>The Hirer must assess its site and intended task, provide safe access and exclusion zones, control ground and overhead hazards, locate underground services where relevant, and supply suitable supervision and competent Approved Users. It must prepare and implement a safe work method statement where legally required and other task risk controls appropriate to the work.</w:t>
      </w:r>
    </w:p>
    <w:p>
      <w:pPr>
        <w:keepLines/>
      </w:pPr>
      <w:r>
        <w:rPr>
          <w:b w:val="0"/>
        </w:rPr>
      </w:r>
      <w:r>
        <w:rPr>
          <w:b/>
        </w:rPr>
        <w:t xml:space="preserve">7.3  </w:t>
      </w:r>
      <w:r>
        <w:t>The Hirer must verify current driver and high risk work licences where required, licence conditions and equipment-specific competence. A familiarisation demonstration or a competency record does not replace a legally required licence. The Supplier must not knowingly release Equipment for unlawful or unsafe operation.</w:t>
      </w:r>
    </w:p>
    <w:p>
      <w:pPr>
        <w:keepLines/>
      </w:pPr>
      <w:r>
        <w:rPr>
          <w:b w:val="0"/>
        </w:rPr>
      </w:r>
      <w:r>
        <w:rPr>
          <w:b/>
        </w:rPr>
        <w:t xml:space="preserve">7.4  </w:t>
      </w:r>
      <w:r>
        <w:t>Any person may stop work for a reasonably suspected serious safety risk. The parties must isolate the Equipment as necessary and resolve the risk before restart. No contractual target, charge or incentive authorises unsafe use. Where a charge is disputed, safety action must proceed independently of that dispute.</w:t>
      </w:r>
    </w:p>
    <w:p>
      <w:pPr>
        <w:keepLines/>
      </w:pPr>
      <w:r>
        <w:rPr>
          <w:b w:val="0"/>
        </w:rPr>
      </w:r>
      <w:r>
        <w:rPr>
          <w:b/>
        </w:rPr>
        <w:t xml:space="preserve">7.5  </w:t>
      </w:r>
      <w:r>
        <w:t>Incidents must be addressed immediately: protect life, contact emergency services when needed, prevent further harm, preserve evidence and notify the relevant parties promptly. Each duty holder remains responsible for statutory notifications and incident-site preservation; a VEYRA report does not satisfy a regulator notification by itself.</w:t>
      </w:r>
    </w:p>
    <w:p>
      <w:pPr>
        <w:pStyle w:val="Heading1"/>
      </w:pPr>
      <w:r>
        <w:t>Transparent pricing and payment</w:t>
      </w:r>
    </w:p>
    <w:p>
      <w:pPr>
        <w:pStyle w:val="Heading2"/>
      </w:pPr>
      <w:r>
        <w:t>8 Pricing and disclosure</w:t>
      </w:r>
    </w:p>
    <w:p>
      <w:pPr>
        <w:keepLines/>
      </w:pPr>
      <w:r>
        <w:rPr>
          <w:b w:val="0"/>
        </w:rPr>
      </w:r>
      <w:r>
        <w:rPr>
          <w:b/>
        </w:rPr>
        <w:t xml:space="preserve">8.1  </w:t>
      </w:r>
      <w:r>
        <w:t>The Supplier must complete Schedule 3 against the same Hirer scope and assumptions. The quote must show currency, quantities, hire basis, minimum period, included hours or kilometres, confirmed fixed charges, conditional charge triggers, optional items, GST and total payable for the stated scenario. Mandatory fees must be included in the quoted total.</w:t>
      </w:r>
    </w:p>
    <w:p>
      <w:pPr>
        <w:keepLines/>
      </w:pPr>
      <w:r>
        <w:rPr>
          <w:b w:val="0"/>
        </w:rPr>
      </w:r>
      <w:r>
        <w:rPr>
          <w:b/>
        </w:rPr>
        <w:t xml:space="preserve">8.2  </w:t>
      </w:r>
      <w:r>
        <w:t>No unlisted levy, administration fee, environmental fee, cleaning fee, fuel surcharge, damage waiver, loading fee or other supplier charge is payable. A required pricing field must state a rate or amount, Included, or Not applicable. A blank is not a right to charge later. An unresolved compulsory cost prevents booking confirmation.</w:t>
      </w:r>
    </w:p>
    <w:p>
      <w:pPr>
        <w:keepLines/>
      </w:pPr>
      <w:r>
        <w:rPr>
          <w:b w:val="0"/>
        </w:rPr>
      </w:r>
      <w:r>
        <w:rPr>
          <w:b/>
        </w:rPr>
        <w:t xml:space="preserve">8.3  </w:t>
      </w:r>
      <w:r>
        <w:t>Conditional charges are payable only where their trigger and rate or calculation were disclosed and accepted before the relevant event, and the Supplier provides supporting evidence. Statutory amounts imposed directly on a party and damages properly established under this Contract are treated under the relevant clauses, not as undisclosed supplier fees.</w:t>
      </w:r>
    </w:p>
    <w:p>
      <w:pPr>
        <w:keepLines/>
      </w:pPr>
      <w:r>
        <w:rPr>
          <w:b w:val="0"/>
        </w:rPr>
      </w:r>
      <w:r>
        <w:rPr>
          <w:b/>
        </w:rPr>
        <w:t xml:space="preserve">8.4  </w:t>
      </w:r>
      <w:r>
        <w:t>Rates are fixed for the agreed booking and any expressly priced extension. No new minimum period, backdated discount withdrawal or unilateral rate increase applies. Future bookings may use new independently set rates. An unforeseen scope change must follow clause 9.</w:t>
      </w:r>
    </w:p>
    <w:p>
      <w:pPr>
        <w:keepLines/>
      </w:pPr>
      <w:r>
        <w:rPr>
          <w:b/>
        </w:rPr>
        <w:t xml:space="preserve">8.5  </w:t>
      </w:r>
      <w:r>
        <w:t>Fair Wear and rectification of pre-existing defects are included in the hire rate. The Hirer pays servicing costs under clause 14. Tyre, track, cutting-edge and other wear-item charges require an agreed baseline, inclusion allowance, measurement method and rate. Normal wear must not be relabelled as damage.</w:t>
      </w:r>
    </w:p>
    <w:p>
      <w:pPr>
        <w:keepLines/>
      </w:pPr>
      <w:r>
        <w:rPr>
          <w:b w:val="0"/>
        </w:rPr>
      </w:r>
      <w:r>
        <w:rPr>
          <w:b/>
        </w:rPr>
        <w:t xml:space="preserve">8.6  </w:t>
      </w:r>
      <w:r>
        <w:t>Each Supplier sets its prices independently. VEYRA must not disclose one supplier's confidential bid to another or facilitate agreement between competitors on prices, customers or territories. Comparisons must use disclosed assumptions, distinguish estimates from confirmed costs and identify material scope differences.</w:t>
      </w:r>
    </w:p>
    <w:p>
      <w:pPr>
        <w:pStyle w:val="Heading2"/>
      </w:pPr>
      <w:r>
        <w:t>9 Changes and emergency action</w:t>
      </w:r>
    </w:p>
    <w:p>
      <w:pPr>
        <w:keepLines/>
      </w:pPr>
      <w:r>
        <w:rPr>
          <w:b w:val="0"/>
        </w:rPr>
      </w:r>
      <w:r>
        <w:rPr>
          <w:b/>
        </w:rPr>
        <w:t xml:space="preserve">9.1  </w:t>
      </w:r>
      <w:r>
        <w:t>A Variation must identify the reason, changed scope, additional or reduced cost, timing and effect on other obligations. It must be expressly approved by the Hirer's authorised approver and the Supplier, and by VEYRA where its obligations or fees change. Silence, site use or a delivery signature is not approval of a new charge.</w:t>
      </w:r>
    </w:p>
    <w:p>
      <w:pPr>
        <w:keepLines/>
      </w:pPr>
      <w:r>
        <w:rPr>
          <w:b w:val="0"/>
        </w:rPr>
      </w:r>
      <w:r>
        <w:rPr>
          <w:b/>
        </w:rPr>
        <w:t xml:space="preserve">9.2  </w:t>
      </w:r>
      <w:r>
        <w:t>For an immediate threat to people, property or the environment, a party may take reasonably necessary protective action without awaiting commercial approval. It must minimise cost, notify the others as soon as safe and provide evidence. Allocation of that cost depends on responsibility under this Contract and law; emergency action is not automatic authority to debit the Hirer.</w:t>
      </w:r>
    </w:p>
    <w:p>
      <w:pPr>
        <w:keepLines/>
      </w:pPr>
      <w:r>
        <w:rPr>
          <w:b w:val="0"/>
        </w:rPr>
      </w:r>
      <w:r>
        <w:rPr>
          <w:b/>
        </w:rPr>
        <w:t xml:space="preserve">9.3  </w:t>
      </w:r>
      <w:r>
        <w:t>Changing equipment, sites, attachments, dates, use, operating shifts or quantities requires the relevant fields to be updated. An outage permits acceptance by the nominated notice emails, followed by a platform record; it does not permit unilateral variation.</w:t>
      </w:r>
    </w:p>
    <w:p>
      <w:pPr>
        <w:pStyle w:val="Heading2"/>
      </w:pPr>
      <w:r>
        <w:t>10 Invoices deposits and payment</w:t>
      </w:r>
    </w:p>
    <w:p>
      <w:pPr>
        <w:keepLines/>
      </w:pPr>
      <w:r>
        <w:rPr>
          <w:b w:val="0"/>
        </w:rPr>
      </w:r>
      <w:r>
        <w:rPr>
          <w:b/>
        </w:rPr>
        <w:t xml:space="preserve">10.1  </w:t>
      </w:r>
      <w:r>
        <w:t>Unless the Hire Order expressly states otherwise, properly rendered undisputed invoices are payable within 30 calendar days of receipt. Each invoice must identify the booking, asset, dates, rates, meter readings, approved changes, GST and credits. VEYRA fees must be separately identified with the payer and calculation; no fee is inferred from this framework.</w:t>
      </w:r>
    </w:p>
    <w:p>
      <w:pPr>
        <w:keepLines/>
      </w:pPr>
      <w:r>
        <w:rPr>
          <w:b w:val="0"/>
        </w:rPr>
      </w:r>
      <w:r>
        <w:rPr>
          <w:b/>
        </w:rPr>
        <w:t xml:space="preserve">10.2  </w:t>
      </w:r>
      <w:r>
        <w:t>A bond or card pre-authorisation must have a disclosed amount, purpose and release process. It is security only, not an admission of liability. No disputed damage amount may be deducted without the Hirer's written agreement or a binding determination. Undisputed balances must be released within five Business Days after return and reconciliation.</w:t>
      </w:r>
    </w:p>
    <w:p>
      <w:pPr>
        <w:keepLines/>
      </w:pPr>
      <w:r>
        <w:rPr>
          <w:b w:val="0"/>
        </w:rPr>
      </w:r>
      <w:r>
        <w:rPr>
          <w:b/>
        </w:rPr>
        <w:t xml:space="preserve">10.3  </w:t>
      </w:r>
      <w:r>
        <w:t>The Hirer must explain a disputed invoice promptly and pay the undisputed portion when due. Delay in raising a dispute does not itself waive a genuine claim. The Supplier must provide evidence and engage in clause 26. No interest applies unless an expressly disclosed lawful rate and calculation were agreed; interest cannot accrue on a genuinely disputed amount while it is being resolved.</w:t>
      </w:r>
    </w:p>
    <w:p>
      <w:pPr>
        <w:keepLines/>
      </w:pPr>
      <w:r>
        <w:rPr>
          <w:b w:val="0"/>
        </w:rPr>
      </w:r>
      <w:r>
        <w:rPr>
          <w:b/>
        </w:rPr>
        <w:t xml:space="preserve">10.4  </w:t>
      </w:r>
      <w:r>
        <w:t>There is no personal guarantee, general asset charge or right to use a stored card for unspecified charges under this framework. Any separate security arrangement requires its own clear, lawful and express agreement.</w:t>
      </w:r>
    </w:p>
    <w:p>
      <w:pPr>
        <w:pStyle w:val="Heading1"/>
      </w:pPr>
      <w:r>
        <w:t>Handover use and hire duration</w:t>
      </w:r>
    </w:p>
    <w:p>
      <w:pPr>
        <w:pStyle w:val="Heading2"/>
      </w:pPr>
      <w:r>
        <w:t>11 Delivery and collection at commencement</w:t>
      </w:r>
    </w:p>
    <w:p>
      <w:pPr>
        <w:keepLines/>
      </w:pPr>
      <w:r>
        <w:rPr>
          <w:b w:val="0"/>
        </w:rPr>
      </w:r>
      <w:r>
        <w:rPr>
          <w:b/>
        </w:rPr>
        <w:t xml:space="preserve">11.1  </w:t>
      </w:r>
      <w:r>
        <w:t>The Hire Order must identify who arranges and pays for each transport leg, loading and unloading, site access requirements, delivery window, permits and any separately scoped assembly or commissioning. The Supplier remains responsible for its transport contractors; the Hirer remains responsible for contractors it appoints.</w:t>
      </w:r>
    </w:p>
    <w:p>
      <w:pPr>
        <w:keepLines/>
      </w:pPr>
      <w:r>
        <w:rPr>
          <w:b w:val="0"/>
        </w:rPr>
      </w:r>
      <w:r>
        <w:rPr>
          <w:b/>
        </w:rPr>
        <w:t xml:space="preserve">11.2  </w:t>
      </w:r>
      <w:r>
        <w:t>For Supplier delivery, hire starts no earlier than the agreed start and actual handover of conforming Equipment ready for the agreed use, with required documents. For Hirer collection, it starts no earlier than the agreed start and physical release to the Hirer or its appointed carrier, unless a clearly priced reservation term applies.</w:t>
      </w:r>
    </w:p>
    <w:p>
      <w:pPr>
        <w:keepLines/>
      </w:pPr>
      <w:r>
        <w:rPr>
          <w:b w:val="0"/>
        </w:rPr>
      </w:r>
      <w:r>
        <w:rPr>
          <w:b/>
        </w:rPr>
        <w:t xml:space="preserve">11.3  </w:t>
      </w:r>
      <w:r>
        <w:t>The Hirer may reject materially non-conforming, unsafe or unusable Equipment and notify the Supplier promptly. The Supplier must arrange correction, an accepted equivalent replacement or cancellation and refund for the affected item. Supplier-caused rejection attracts no hire, cancellation or return transport charge to the Hirer.</w:t>
      </w:r>
    </w:p>
    <w:p>
      <w:pPr>
        <w:keepLines/>
      </w:pPr>
      <w:r>
        <w:rPr>
          <w:b w:val="0"/>
        </w:rPr>
      </w:r>
      <w:r>
        <w:rPr>
          <w:b/>
        </w:rPr>
        <w:t xml:space="preserve">11.4  </w:t>
      </w:r>
      <w:r>
        <w:t>A handover inspection records visible condition and contents. It does not waive latent defects, undisclosed faults or statutory rights. Minor cosmetic issues may be recorded without rejecting otherwise conforming Equipment.</w:t>
      </w:r>
    </w:p>
    <w:p>
      <w:pPr>
        <w:pStyle w:val="Heading2"/>
      </w:pPr>
      <w:r>
        <w:t>12 Permitted use and custody</w:t>
      </w:r>
    </w:p>
    <w:p>
      <w:pPr>
        <w:keepLines/>
      </w:pPr>
      <w:r>
        <w:rPr>
          <w:b w:val="0"/>
        </w:rPr>
      </w:r>
      <w:r>
        <w:rPr>
          <w:b/>
        </w:rPr>
        <w:t xml:space="preserve">12.1  </w:t>
      </w:r>
      <w:r>
        <w:t>The Hirer must use the Equipment only for the agreed purpose and locations, within manufacturer limits, and through Approved Users. It must conduct daily pre-start checks, use correct fuel and fluids, secure keys and assets, and keep required operating records. The Supplier must disclose reasonable item-specific requirements before booking.</w:t>
      </w:r>
    </w:p>
    <w:p>
      <w:pPr>
        <w:keepLines/>
      </w:pPr>
      <w:r>
        <w:rPr>
          <w:b w:val="0"/>
        </w:rPr>
      </w:r>
      <w:r>
        <w:rPr>
          <w:b/>
        </w:rPr>
        <w:t xml:space="preserve">12.2  </w:t>
      </w:r>
      <w:r>
        <w:t>No alteration, safety-device bypass, unapproved attachment, sub-hire, transfer, racing, deliberate overloading or prohibited use is permitted. Interstate travel, towing, unsealed roads, remote work, underground work, demolition, corrosive exposure and water crossings must be expressly dealt with where relevant. A 4x4 description alone does not define approved terrain or insurance cover.</w:t>
      </w:r>
    </w:p>
    <w:p>
      <w:pPr>
        <w:keepLines/>
      </w:pPr>
      <w:r>
        <w:rPr>
          <w:b w:val="0"/>
        </w:rPr>
      </w:r>
      <w:r>
        <w:rPr>
          <w:b/>
        </w:rPr>
        <w:t xml:space="preserve">12.3  </w:t>
      </w:r>
      <w:r>
        <w:t>Site and transport arrangements must respect actual mass, dimensions, load limits and access restrictions. The Hirer must not move Equipment to another site or allow another entity to take possession without recorded consent, except a necessary safe movement in an emergency followed by prompt notice.</w:t>
      </w:r>
    </w:p>
    <w:p>
      <w:pPr>
        <w:keepLines/>
      </w:pPr>
      <w:r>
        <w:rPr>
          <w:b w:val="0"/>
        </w:rPr>
      </w:r>
      <w:r>
        <w:rPr>
          <w:b/>
        </w:rPr>
        <w:t xml:space="preserve">12.4  </w:t>
      </w:r>
      <w:r>
        <w:t>After handover and until return, the Hirer must exercise reasonable care and secure the Equipment. This custody duty does not create strict liability for every loss occurring during that period; financial responsibility is determined under clauses 17 to 19.</w:t>
      </w:r>
    </w:p>
    <w:p>
      <w:pPr>
        <w:pStyle w:val="Heading2"/>
      </w:pPr>
      <w:r>
        <w:t>13 Hire periods extensions and standby</w:t>
      </w:r>
    </w:p>
    <w:p>
      <w:pPr>
        <w:keepLines/>
      </w:pPr>
      <w:r>
        <w:rPr>
          <w:b/>
        </w:rPr>
        <w:t xml:space="preserve">13.1  </w:t>
      </w:r>
      <w:r>
        <w:t>The Hire Order must state the hire dates, billing basis, agreed rates and minimum commitment. For hourly billing, a minimum of four billable hours applies to each Monday to Friday during the agreed hire. Maintenance and breakdown charge treatment under clauses 14 and 15 still applies. Weekly or monthly package prices incorporate the weekday minimum; it is not an additional charge on top of those packages. Weekend and public holiday pricing must be disclosed before booking.</w:t>
      </w:r>
    </w:p>
    <w:p>
      <w:pPr>
        <w:keepLines/>
      </w:pPr>
      <w:r>
        <w:rPr>
          <w:b w:val="0"/>
        </w:rPr>
      </w:r>
      <w:r>
        <w:rPr>
          <w:b/>
        </w:rPr>
        <w:t xml:space="preserve">13.2  </w:t>
      </w:r>
      <w:r>
        <w:t>An extension needs Supplier acceptance and Hirer approval before the agreed end where practicable. There is no automatic new fixed term. An unauthorised overrun while the Hirer retains use or fails to make agreed return available is charged at the already agreed daily rate, pro rata hourly, without an undisclosed penalty; other proven loss is subject to clause 19 and no double recovery.</w:t>
      </w:r>
    </w:p>
    <w:p>
      <w:pPr>
        <w:keepLines/>
      </w:pPr>
      <w:r>
        <w:rPr>
          <w:b w:val="0"/>
        </w:rPr>
      </w:r>
      <w:r>
        <w:rPr>
          <w:b/>
        </w:rPr>
        <w:t xml:space="preserve">13.3  </w:t>
      </w:r>
      <w:r>
        <w:t>Standby, weather downtime and site closure are charged at the disclosed booking rate unless a different standby or suspension rate is agreed. Supplier-caused breakdown and unavailable Equipment are governed by clause 15. A Hirer request for early off-hire is governed by clauses 16 and 21.</w:t>
      </w:r>
    </w:p>
    <w:p>
      <w:pPr>
        <w:keepLines/>
      </w:pPr>
      <w:r>
        <w:rPr>
          <w:b w:val="0"/>
        </w:rPr>
      </w:r>
      <w:r>
        <w:rPr>
          <w:b/>
        </w:rPr>
        <w:t xml:space="preserve">13.4  </w:t>
      </w:r>
      <w:r>
        <w:t>Excess usage requires reliable start and end readings. If a meter fails, the parties must agree a reasonable evidence-based estimate using operating records; the Supplier cannot substitute an unsupported estimate or the maximum possible usage.</w:t>
      </w:r>
    </w:p>
    <w:p>
      <w:pPr>
        <w:keepLines/>
      </w:pPr>
      <w:r>
        <w:rPr>
          <w:b/>
        </w:rPr>
        <w:t xml:space="preserve">13.5  </w:t>
      </w:r>
      <w:r>
        <w:t>Each full hire week includes 70 operating hours. A hire week is seven consecutive days from the agreed hire start time and includes weekend usage. Operating hours above 70 in that week are charged at the machine-specific excess operating-hour rate stated in the accepted Hire Order and Schedule 3. The rate must show its GST treatment and apply only to the excess hours, using meter readings. Fractional hours are charged proportionately. No retrospective rate change or undisclosed excess-hour rate is permitted.</w:t>
      </w:r>
    </w:p>
    <w:p>
      <w:pPr>
        <w:keepLines/>
      </w:pPr>
      <w:r>
        <w:rPr>
          <w:b/>
        </w:rPr>
        <w:t xml:space="preserve">13.6  </w:t>
      </w:r>
      <w:r>
        <w:t>The rate may differ between machines but must be agreed before the booking is confirmed. Weekly excess hours equal the greater of zero and the recorded weekly operating hours less 70. Unused hours do not offset excess hours in another week unless expressly agreed. The Hire Order must state the allowance and minimum-charge treatment for a part week before acceptance. No operating hour may be charged twice under weekly and monthly excess calculations.</w:t>
      </w:r>
    </w:p>
    <w:p>
      <w:pPr>
        <w:keepLines/>
      </w:pPr>
      <w:r>
        <w:rPr>
          <w:b/>
        </w:rPr>
        <w:t xml:space="preserve">13.7  </w:t>
      </w:r>
      <w:r>
        <w:t>The proposed monthly allowance is 280 operating hours. Before any monthly booking is confirmed, the Hire Order must expressly define whether the period is 28 consecutive days or a calendar month, and how partial weeks and days are treated. This draft does not select either interpretation. The 70-hour weekly threshold remains applicable; any monthly reconciliation must credit excess-hour amounts already charged for the same operating hours.</w:t>
      </w:r>
    </w:p>
    <w:p>
      <w:pPr>
        <w:pStyle w:val="Heading1"/>
      </w:pPr>
      <w:r>
        <w:t>Maintenance breakdown and off hire</w:t>
      </w:r>
    </w:p>
    <w:p>
      <w:pPr>
        <w:pStyle w:val="Heading2"/>
      </w:pPr>
      <w:r>
        <w:t>14 Maintenance and inspection</w:t>
      </w:r>
    </w:p>
    <w:p>
      <w:pPr>
        <w:keepLines/>
      </w:pPr>
      <w:r>
        <w:rPr>
          <w:b/>
        </w:rPr>
        <w:t xml:space="preserve">14.1  </w:t>
      </w:r>
      <w:r>
        <w:t>During hire, the Hirer must arrange, carry out and pay for all day-to-day, routine and scheduled servicing, including required in-hire inspections, labour, service parts, filters and lubricants. Work must follow manufacturer instructions and the disclosed service schedule, using competent and appropriately licensed personnel. The Supplier must provide current records, service intervals and next due dates before handover and supply the Equipment with no overdue service or inspection.</w:t>
      </w:r>
    </w:p>
    <w:p>
      <w:pPr>
        <w:keepLines/>
      </w:pPr>
      <w:r>
        <w:rPr>
          <w:b/>
        </w:rPr>
        <w:t xml:space="preserve">14.2  </w:t>
      </w:r>
      <w:r>
        <w:t>The Hirer must perform and record daily pre-start checks, monitor hours and warning indicators, and stop unsafe use. It must record each service date, hours or kilometres, work, parts and service provider, and give the Supplier copies on reasonable request and at return. Approved service personnel and warranty requirements must be recorded before booking. The Hirer must promptly report faults and allow safe access for inspection.</w:t>
      </w:r>
    </w:p>
    <w:p>
      <w:pPr>
        <w:keepLines/>
      </w:pPr>
      <w:r>
        <w:rPr>
          <w:b/>
        </w:rPr>
        <w:t xml:space="preserve">14.3  </w:t>
      </w:r>
      <w:r>
        <w:t>The Hire Order must state how planned servicing downtime affects hire charges, the weekday minimum and included operating hours. This must be agreed before booking. Clause 15 governs breakdown downtime. Neither party may require unsafe operation to meet a minimum charge or usage target. Each party retains its own statutory safety duties and must cooperate to keep inspection and registration requirements current.</w:t>
      </w:r>
    </w:p>
    <w:p>
      <w:pPr>
        <w:keepLines/>
      </w:pPr>
      <w:r>
        <w:rPr>
          <w:b/>
        </w:rPr>
        <w:t xml:space="preserve">14.4  </w:t>
      </w:r>
      <w:r>
        <w:t>Servicing does not make the Hirer responsible for pre-existing defects or repairs caused solely by Fair Wear or ordinary mechanical failure. The Supplier remains responsible for those repairs, subject to clauses 15 and 17. The Hirer pays reasonable evidenced repair costs to the extent caused by misuse, negligence or missed or improper servicing. Non-routine repairs and modifications need Supplier approval, except immediate protective action under clause 9. The Supplier must not unreasonably delay a response.</w:t>
      </w:r>
    </w:p>
    <w:p>
      <w:pPr>
        <w:pStyle w:val="Heading2"/>
      </w:pPr>
      <w:r>
        <w:t>15 Failure and response</w:t>
      </w:r>
    </w:p>
    <w:p>
      <w:pPr>
        <w:keepLines/>
      </w:pPr>
      <w:r>
        <w:rPr>
          <w:b w:val="0"/>
        </w:rPr>
      </w:r>
      <w:r>
        <w:rPr>
          <w:b/>
        </w:rPr>
        <w:t xml:space="preserve">15.1  </w:t>
      </w:r>
      <w:r>
        <w:t>On a fault or safety concern the Hirer must stop affected use, make the Equipment safe and contact the Supplier. If telephone reporting is used, a written record should follow when practicable. The Supplier must provide the agreed emergency contact and acknowledge reports within the response target in Schedule 1 or the Hire Order.</w:t>
      </w:r>
    </w:p>
    <w:p>
      <w:pPr>
        <w:keepLines/>
      </w:pPr>
      <w:r>
        <w:rPr>
          <w:b w:val="0"/>
        </w:rPr>
      </w:r>
      <w:r>
        <w:rPr>
          <w:b/>
        </w:rPr>
        <w:t xml:space="preserve">15.2  </w:t>
      </w:r>
      <w:r>
        <w:t>For failure not caused by Hirer breach or negligence, hire charges stop for the unusable item from the evidenced time it became unavailable until it is restored or an accepted replacement is available. A late report affects recovery only to the extent it actually prevents mitigation or verification.</w:t>
      </w:r>
    </w:p>
    <w:p>
      <w:pPr>
        <w:keepLines/>
      </w:pPr>
      <w:r>
        <w:rPr>
          <w:b w:val="0"/>
        </w:rPr>
      </w:r>
      <w:r>
        <w:rPr>
          <w:b/>
        </w:rPr>
        <w:t xml:space="preserve">15.3  </w:t>
      </w:r>
      <w:r>
        <w:t>The Supplier must provide a repair or replacement plan within the agreed target. A replacement must satisfy the scope and category requirements without extra hire or transport cost where the Supplier is responsible. The Hirer is not required to accept a materially inferior item.</w:t>
      </w:r>
    </w:p>
    <w:p>
      <w:pPr>
        <w:keepLines/>
      </w:pPr>
      <w:r>
        <w:rPr>
          <w:b w:val="0"/>
        </w:rPr>
      </w:r>
      <w:r>
        <w:rPr>
          <w:b/>
        </w:rPr>
        <w:t xml:space="preserve">15.4  </w:t>
      </w:r>
      <w:r>
        <w:t>If safe conforming use cannot resume within the recovery deadline stated in the Hire Order, the Hirer may terminate the affected item without a cancellation charge and obtain the appropriate refund. If no deadline is stated, it must be reasonable for the disclosed task urgency and site circumstances. Non-excludable remedies are unaffected.</w:t>
      </w:r>
    </w:p>
    <w:p>
      <w:pPr>
        <w:keepLines/>
      </w:pPr>
      <w:r>
        <w:rPr>
          <w:b w:val="0"/>
        </w:rPr>
      </w:r>
      <w:r>
        <w:rPr>
          <w:b/>
        </w:rPr>
        <w:t xml:space="preserve">15.5  </w:t>
      </w:r>
      <w:r>
        <w:t>Where responsibility is contested, the parties must preserve evidence and may jointly appoint an independent competent assessor. Neither party's inspection is conclusive by itself. Reasonable assessment costs are allocated by agreement or determination according to responsibility.</w:t>
      </w:r>
    </w:p>
    <w:p>
      <w:pPr>
        <w:pStyle w:val="Heading2"/>
      </w:pPr>
      <w:r>
        <w:t>16 Off hire return and inspection</w:t>
      </w:r>
    </w:p>
    <w:p>
      <w:pPr>
        <w:keepLines/>
      </w:pPr>
      <w:r>
        <w:rPr>
          <w:b w:val="0"/>
        </w:rPr>
      </w:r>
      <w:r>
        <w:rPr>
          <w:b/>
        </w:rPr>
        <w:t xml:space="preserve">16.1  </w:t>
      </w:r>
      <w:r>
        <w:t>An off-hire notice must identify the booking and assets, requested stop time, location, condition, access and readiness for return. It can be given through the platform or nominated notice email if unavailable. A notice remains effective despite a missing internal reference number if receipt and readiness are evidenced.</w:t>
      </w:r>
    </w:p>
    <w:p>
      <w:pPr>
        <w:keepLines/>
      </w:pPr>
      <w:r>
        <w:rPr>
          <w:b w:val="0"/>
        </w:rPr>
      </w:r>
      <w:r>
        <w:rPr>
          <w:b/>
        </w:rPr>
        <w:t xml:space="preserve">16.2  </w:t>
      </w:r>
      <w:r>
        <w:t>Where the Supplier collects, usage charges cease at the later of the agreed hire end or accepted early end and the time the Equipment is safely available at the agreed location after valid notice. Supplier collection delay does not extend hire. Any lawful, expressly agreed minimum commitment remains subject to clause 21.</w:t>
      </w:r>
    </w:p>
    <w:p>
      <w:pPr>
        <w:keepLines/>
      </w:pPr>
      <w:r>
        <w:rPr>
          <w:b w:val="0"/>
        </w:rPr>
      </w:r>
      <w:r>
        <w:rPr>
          <w:b/>
        </w:rPr>
        <w:t xml:space="preserve">16.3  </w:t>
      </w:r>
      <w:r>
        <w:t>Where the Hirer returns, charges cease on actual return to the agreed place during the agreed return window, or when a documented timely tender of conforming return is refused or prevented by the Supplier. A depot closure contrary to the agreed window must not create extra hire.</w:t>
      </w:r>
    </w:p>
    <w:p>
      <w:pPr>
        <w:keepLines/>
      </w:pPr>
      <w:r>
        <w:rPr>
          <w:b w:val="0"/>
        </w:rPr>
      </w:r>
      <w:r>
        <w:rPr>
          <w:b/>
        </w:rPr>
        <w:t xml:space="preserve">16.4  </w:t>
      </w:r>
      <w:r>
        <w:t>The Hirer must stop use and take reasonable care while awaiting collection. The Supplier must collect within the agreed window; if delayed beyond two Business Days without agreement, the parties must arrange safe custody, with reasonable evidenced additional storage cost borne by the Supplier where caused by its delay.</w:t>
      </w:r>
    </w:p>
    <w:p>
      <w:pPr>
        <w:keepLines/>
      </w:pPr>
      <w:r>
        <w:rPr>
          <w:b w:val="0"/>
        </w:rPr>
      </w:r>
      <w:r>
        <w:rPr>
          <w:b/>
        </w:rPr>
        <w:t xml:space="preserve">16.5  </w:t>
      </w:r>
      <w:r>
        <w:t>The parties should inspect at return. The Supplier must normally notify a visible damage or missing-item claim, with evidence, within five Business Days. A latent issue must be notified promptly after discovery with an explanation of why it could not reasonably be detected earlier. Delay is not automatic acceptance or automatic forfeiture; evidence, prejudice and statutory rights must be considered.</w:t>
      </w:r>
    </w:p>
    <w:p>
      <w:pPr>
        <w:pStyle w:val="Heading1"/>
      </w:pPr>
      <w:r>
        <w:t>Loss insurance and liability</w:t>
      </w:r>
    </w:p>
    <w:p>
      <w:pPr>
        <w:pStyle w:val="Heading2"/>
      </w:pPr>
      <w:r>
        <w:t>17 Damage theft and claims</w:t>
      </w:r>
    </w:p>
    <w:p>
      <w:pPr>
        <w:keepLines/>
      </w:pPr>
      <w:r>
        <w:rPr>
          <w:b/>
        </w:rPr>
        <w:t xml:space="preserve">17.1  </w:t>
      </w:r>
      <w:r>
        <w:t>The Hirer is responsible to the extent loss or damage is caused by its breach, negligence or wilful misconduct, including misuse, missed or improper servicing and acts of people it authorises or controls. Fair Wear, pre-existing faults and Supplier-caused loss are excluded. Mandatory insurance under clause 18 is a separate obligation; it does not impose strict liability for every incident. Any broader uninsured accidental-loss allocation requires an express reviewed amendment.</w:t>
      </w:r>
    </w:p>
    <w:p>
      <w:pPr>
        <w:keepLines/>
      </w:pPr>
      <w:r>
        <w:rPr>
          <w:b w:val="0"/>
        </w:rPr>
      </w:r>
      <w:r>
        <w:rPr>
          <w:b/>
        </w:rPr>
        <w:t xml:space="preserve">17.2  </w:t>
      </w:r>
      <w:r>
        <w:t>A claim must include asset identification, before and after evidence, incident details, causation, repair assessment and itemised cost. The Hirer must have a reasonable opportunity to inspect and respond before non-urgent repair. Necessary safety work may proceed if evidence is preserved.</w:t>
      </w:r>
    </w:p>
    <w:p>
      <w:pPr>
        <w:keepLines/>
      </w:pPr>
      <w:r>
        <w:rPr>
          <w:b w:val="0"/>
        </w:rPr>
      </w:r>
      <w:r>
        <w:rPr>
          <w:b/>
        </w:rPr>
        <w:t xml:space="preserve">17.3  </w:t>
      </w:r>
      <w:r>
        <w:t>Recovery is limited to reasonable actual restoration cost or, for an economic total loss, substantiated pre-loss market value of an equivalent item, less salvage and recoveries. Betterment must be credited. A declared replacement value is for disclosure and insurance assessment, not an automatic debt.</w:t>
      </w:r>
    </w:p>
    <w:p>
      <w:pPr>
        <w:keepLines/>
      </w:pPr>
      <w:r>
        <w:rPr>
          <w:b w:val="0"/>
        </w:rPr>
      </w:r>
      <w:r>
        <w:rPr>
          <w:b/>
        </w:rPr>
        <w:t xml:space="preserve">17.4  </w:t>
      </w:r>
      <w:r>
        <w:t>Loss of hire is recoverable only if the Hire Order expressly discloses an agreed daily cap and maximum period, and only for actual evidenced net loss caused by the responsible party during a reasonable repair or replacement period. It excludes saved costs and replacement earnings. There must be no continuing ordinary hire plus loss-of-hire charge for the same period.</w:t>
      </w:r>
    </w:p>
    <w:p>
      <w:pPr>
        <w:keepLines/>
      </w:pPr>
      <w:r>
        <w:rPr>
          <w:b w:val="0"/>
        </w:rPr>
      </w:r>
      <w:r>
        <w:rPr>
          <w:b/>
        </w:rPr>
        <w:t xml:space="preserve">17.5  </w:t>
      </w:r>
      <w:r>
        <w:t>Theft must be reported promptly to police where appropriate and to the Supplier. Parties must cooperate reasonably with claims. There must be no double recovery through a bond, waiver payment, insurance, salvage, damages or a third party.</w:t>
      </w:r>
    </w:p>
    <w:p>
      <w:pPr>
        <w:pStyle w:val="Heading2"/>
      </w:pPr>
      <w:r>
        <w:t>18 Hirer insurance and evidence</w:t>
      </w:r>
    </w:p>
    <w:p>
      <w:pPr>
        <w:keepLines/>
      </w:pPr>
      <w:r>
        <w:rPr>
          <w:b/>
        </w:rPr>
        <w:t xml:space="preserve">18.1  </w:t>
      </w:r>
      <w:r>
        <w:t>The Hirer must arrange and pay for comprehensive physical loss and damage insurance for all Equipment and attachments, including theft, fire and accidental damage, for the full replacement value disclosed and agreed in Schedule 2. Cover must apply from handover or collection through agreed transit, loading, unloading, use and storage until actual return or collection by the Supplier. Record any custody extension and additional premium allocation. The policy must cover the Equipment itself, including insured accidental loss where the Hirer is not legally at fault; liability-only hired-in plant cover is insufficient.</w:t>
      </w:r>
    </w:p>
    <w:p>
      <w:pPr>
        <w:keepLines/>
      </w:pPr>
      <w:r>
        <w:rPr>
          <w:b/>
        </w:rPr>
        <w:t xml:space="preserve">18.2  </w:t>
      </w:r>
      <w:r>
        <w:t>Cover must match the actual dry-hire arrangement, users, locations and tasks, including off-road, crane or lifting activities where applicable. The owner must be identified and its interest appropriately protected by the policy. The Hirer must hold comprehensive motor property-damage cover for road vehicles, public liability at the agreed limit and legally required insurance. The Supplier retains legally required cover and agreed cover for its own activities; VEYRA retains cover for its services. Limits are booking requirements, not universal legal minimums.</w:t>
      </w:r>
    </w:p>
    <w:p>
      <w:pPr>
        <w:keepLines/>
      </w:pPr>
      <w:r>
        <w:rPr>
          <w:b/>
        </w:rPr>
        <w:t xml:space="preserve">18.3  </w:t>
      </w:r>
      <w:r>
        <w:t>Before release, the Hirer must provide certificates of currency and relevant policy schedules or endorsements confirming the assets or blanket-hire limit, value basis, owner interest, permitted uses, exclusions, excesses and expiry. Evidence must show the required cover; a certificate alone is insufficient. Unavailable cover or a material exclusion must be resolved in writing before release, with broker input where needed. No damage waiver substitutes for this insurance obligation.</w:t>
      </w:r>
    </w:p>
    <w:p>
      <w:pPr>
        <w:keepLines/>
      </w:pPr>
      <w:r>
        <w:rPr>
          <w:b/>
        </w:rPr>
        <w:t xml:space="preserve">18.4  </w:t>
      </w:r>
      <w:r>
        <w:t>The Hirer must maintain cover throughout the required period, provide renewal evidence and notify the Supplier immediately on becoming aware of cancellation, lapse or a material reduction. Affected use must stop until required cover is restored. Parties must cooperate with claims and credit all insurance, salvage and third-party recoveries. The Hirer pays its policy excess, subject to recovery to the extent another party is responsible under clauses 17 and 19. Uninsured claims remain governed by those clauses; a failure to insure attracts only loss properly caused by that breach, without double recovery.</w:t>
      </w:r>
    </w:p>
    <w:p>
      <w:pPr>
        <w:pStyle w:val="Heading2"/>
      </w:pPr>
      <w:r>
        <w:t>19 Responsibility and liability allocation</w:t>
      </w:r>
    </w:p>
    <w:p>
      <w:pPr>
        <w:keepLines/>
      </w:pPr>
      <w:r>
        <w:rPr>
          <w:b w:val="0"/>
        </w:rPr>
      </w:r>
      <w:r>
        <w:rPr>
          <w:b/>
        </w:rPr>
        <w:t xml:space="preserve">19.1  </w:t>
      </w:r>
      <w:r>
        <w:t>Each party is liable for reasonably foreseeable direct loss caused by its breach, negligence or wilful misconduct, reduced to reflect the claimant's or another party's contribution. Each must take reasonable steps to mitigate. VEYRA remains liable for its own relevant acts and obligations, including its representations and administration.</w:t>
      </w:r>
    </w:p>
    <w:p>
      <w:pPr>
        <w:keepLines/>
      </w:pPr>
      <w:r>
        <w:rPr>
          <w:b w:val="0"/>
        </w:rPr>
      </w:r>
      <w:r>
        <w:rPr>
          <w:b/>
        </w:rPr>
        <w:t xml:space="preserve">19.2  </w:t>
      </w:r>
      <w:r>
        <w:t>Each party indemnifies another only for a third-party claim for personal injury, death or tangible property damage to the extent caused by the indemnifying party's negligence, wilful misconduct or breach. The indemnity does not cover the other party's contribution, regulatory fines or liability that cannot lawfully be indemnified. The responding party must give notice, allow reasonable participation in defence and obtain consent before a settlement imposing obligations on the other.</w:t>
      </w:r>
    </w:p>
    <w:p>
      <w:pPr>
        <w:keepLines/>
      </w:pPr>
      <w:r>
        <w:rPr>
          <w:b w:val="0"/>
        </w:rPr>
      </w:r>
      <w:r>
        <w:rPr>
          <w:b/>
        </w:rPr>
        <w:t xml:space="preserve">19.3  </w:t>
      </w:r>
      <w:r>
        <w:t>Subject to non-excludable rights, no party is liable for lost profit, lost business opportunity or indirect loss. This does not exclude reasonable replacement hire, recovery costs, clause 17 permitted loss of hire or amounts properly payable under the preceding third-party indemnity. Fraud, wilful misconduct, personal injury and death are not protected by this exclusion.</w:t>
      </w:r>
    </w:p>
    <w:p>
      <w:pPr>
        <w:keepLines/>
      </w:pPr>
      <w:r>
        <w:rPr>
          <w:b w:val="0"/>
        </w:rPr>
      </w:r>
      <w:r>
        <w:rPr>
          <w:b/>
        </w:rPr>
        <w:t xml:space="preserve">19.4  </w:t>
      </w:r>
      <w:r>
        <w:t>No general monetary liability cap is adopted in this draft. Any cap requires an express signed amendment stating its scope, exclusions and relationship to equipment values and insurance. Nothing excludes, restricts or modifies a consumer guarantee, remedy, statutory duty or other right that cannot lawfully be excluded.</w:t>
      </w:r>
    </w:p>
    <w:p>
      <w:pPr>
        <w:pStyle w:val="Heading1"/>
      </w:pPr>
      <w:r>
        <w:t>Ownership cancellation and termination</w:t>
      </w:r>
    </w:p>
    <w:p>
      <w:pPr>
        <w:pStyle w:val="Heading2"/>
      </w:pPr>
      <w:r>
        <w:t>20 Title and personal property securities</w:t>
      </w:r>
    </w:p>
    <w:p>
      <w:pPr>
        <w:keepLines/>
      </w:pPr>
      <w:r>
        <w:rPr>
          <w:b w:val="0"/>
        </w:rPr>
      </w:r>
      <w:r>
        <w:rPr>
          <w:b/>
        </w:rPr>
        <w:t xml:space="preserve">20.1  </w:t>
      </w:r>
      <w:r>
        <w:t>Title remains with the owner. The Hirer must not sell, pledge, encumber or represent ownership of the Equipment and must reasonably assist in identifying it. The Supplier warrants lawful authority to provide the agreed possession and use for the hire.</w:t>
      </w:r>
    </w:p>
    <w:p>
      <w:pPr>
        <w:keepLines/>
      </w:pPr>
      <w:r>
        <w:rPr>
          <w:b w:val="0"/>
        </w:rPr>
      </w:r>
      <w:r>
        <w:rPr>
          <w:b/>
        </w:rPr>
        <w:t xml:space="preserve">20.2  </w:t>
      </w:r>
      <w:r>
        <w:t>The Supplier must obtain advice on whether the actual arrangement creates a security interest under the Personal Property Securities Act 2009, including a PPS lease, and on registration and priority timing. Duration, renewal rights, possession and the substance of the transaction must be considered before dispatch; the label Dry Hire does not decide the issue.</w:t>
      </w:r>
    </w:p>
    <w:p>
      <w:pPr>
        <w:keepLines/>
      </w:pPr>
      <w:r>
        <w:rPr>
          <w:b w:val="0"/>
        </w:rPr>
      </w:r>
      <w:r>
        <w:rPr>
          <w:b/>
        </w:rPr>
        <w:t xml:space="preserve">20.3  </w:t>
      </w:r>
      <w:r>
        <w:t>To the extent this Contract gives rise to a registrable security interest, the Hirer consents to a lawful registration confined to the relevant Equipment and identifiable proceeds and must provide reasonably necessary accurate registration details. No general charge over unrelated assets is granted. The Supplier bears its routine registration costs unless expressly quoted otherwise.</w:t>
      </w:r>
    </w:p>
    <w:p>
      <w:pPr>
        <w:keepLines/>
      </w:pPr>
      <w:r>
        <w:rPr>
          <w:b w:val="0"/>
        </w:rPr>
      </w:r>
      <w:r>
        <w:rPr>
          <w:b/>
        </w:rPr>
        <w:t xml:space="preserve">20.4  </w:t>
      </w:r>
      <w:r>
        <w:t>The Supplier must provide registration details on request, correct errors promptly and discharge or amend the registration when the secured interest ends, within applicable statutory requirements. This framework does not impose a blanket waiver of PPSA notices or remedies.</w:t>
      </w:r>
    </w:p>
    <w:p>
      <w:pPr>
        <w:pStyle w:val="Heading2"/>
      </w:pPr>
      <w:r>
        <w:t>21 Cancellation and early return</w:t>
      </w:r>
    </w:p>
    <w:p>
      <w:pPr>
        <w:keepLines/>
      </w:pPr>
      <w:r>
        <w:rPr>
          <w:b w:val="0"/>
        </w:rPr>
      </w:r>
      <w:r>
        <w:rPr>
          <w:b/>
        </w:rPr>
        <w:t xml:space="preserve">21.1  </w:t>
      </w:r>
      <w:r>
        <w:t>A cancellation or early-return charge applies only if its trigger, calculation and maximum were disclosed in the Hire Order and Schedule 3. It must reasonably reflect committed unrecoverable cost and actual net loss, less avoided costs, mitigation and replacement hire income, and must not penalise the cancelling party.</w:t>
      </w:r>
    </w:p>
    <w:p>
      <w:pPr>
        <w:keepLines/>
      </w:pPr>
      <w:r>
        <w:rPr>
          <w:b w:val="0"/>
        </w:rPr>
      </w:r>
      <w:r>
        <w:rPr>
          <w:b/>
        </w:rPr>
        <w:t xml:space="preserve">21.2  </w:t>
      </w:r>
      <w:r>
        <w:t>An agreed minimum commitment is subject to the same mitigation and no-double-recovery principles. Early return must not retrospectively reprice past hire unless the specific calculation was disclosed and accepted and is otherwise lawful. If no cancellation amount or formula was agreed, no contractual cancellation fee applies.</w:t>
      </w:r>
    </w:p>
    <w:p>
      <w:pPr>
        <w:keepLines/>
      </w:pPr>
      <w:r>
        <w:rPr>
          <w:b w:val="0"/>
        </w:rPr>
      </w:r>
      <w:r>
        <w:rPr>
          <w:b/>
        </w:rPr>
        <w:t xml:space="preserve">21.3  </w:t>
      </w:r>
      <w:r>
        <w:t>No cancellation fee applies where the Hirer validly terminates for Supplier default, unsafe or materially non-conforming Equipment, or under non-excludable rights. The Supplier must refund unearned prepaid amounts promptly and provide a reconciliation.</w:t>
      </w:r>
    </w:p>
    <w:p>
      <w:pPr>
        <w:keepLines/>
      </w:pPr>
      <w:r>
        <w:rPr>
          <w:b w:val="0"/>
        </w:rPr>
      </w:r>
      <w:r>
        <w:rPr>
          <w:b/>
        </w:rPr>
        <w:t xml:space="preserve">21.4  </w:t>
      </w:r>
      <w:r>
        <w:t>If the Supplier cancels a confirmed booking without a permitted justification, it must notify the Hirer immediately, refund unearned amounts and reasonably assist with replacement. Recoverable resulting loss is governed by clause 19.</w:t>
      </w:r>
    </w:p>
    <w:p>
      <w:pPr>
        <w:pStyle w:val="Heading2"/>
      </w:pPr>
      <w:r>
        <w:t>22 Suspension termination and recovery</w:t>
      </w:r>
    </w:p>
    <w:p>
      <w:pPr>
        <w:keepLines/>
      </w:pPr>
      <w:r>
        <w:rPr>
          <w:b w:val="0"/>
        </w:rPr>
      </w:r>
      <w:r>
        <w:rPr>
          <w:b/>
        </w:rPr>
        <w:t xml:space="preserve">22.1  </w:t>
      </w:r>
      <w:r>
        <w:t>A party may give notice of a material breach and require remedy within five Business Days, or a reasonable shorter period for an urgent remediable safety issue. It may terminate the affected booking if the breach is not remedied. Immediate proportionate suspension is permitted for a serious safety risk, unlawful operation or loss of required authority or insurance.</w:t>
      </w:r>
    </w:p>
    <w:p>
      <w:pPr>
        <w:keepLines/>
      </w:pPr>
      <w:r>
        <w:rPr>
          <w:b w:val="0"/>
        </w:rPr>
      </w:r>
      <w:r>
        <w:rPr>
          <w:b/>
        </w:rPr>
        <w:t xml:space="preserve">22.2  </w:t>
      </w:r>
      <w:r>
        <w:t>Non-payment suspension requires an overdue undisputed amount, written particulars and a reasonable opportunity to cure. A genuine dispute alone does not justify seizing Equipment or interrupting safe operations. No party may remotely immobilise Equipment in a way that endangers people or property.</w:t>
      </w:r>
    </w:p>
    <w:p>
      <w:pPr>
        <w:keepLines/>
      </w:pPr>
      <w:r>
        <w:rPr>
          <w:b w:val="0"/>
        </w:rPr>
      </w:r>
      <w:r>
        <w:rPr>
          <w:b/>
        </w:rPr>
        <w:t xml:space="preserve">22.3  </w:t>
      </w:r>
      <w:r>
        <w:t>Either VEYRA or the Supplier may end future participation on 30 days' written notice without cancelling existing accepted bookings. VEYRA may suspend new listings for substantiated qualification, safety or integrity concerns, give reasons as far as lawful and provide a reasonable opportunity to respond and seek human review.</w:t>
      </w:r>
    </w:p>
    <w:p>
      <w:pPr>
        <w:keepLines/>
      </w:pPr>
      <w:r>
        <w:rPr>
          <w:b w:val="0"/>
        </w:rPr>
      </w:r>
      <w:r>
        <w:rPr>
          <w:b/>
        </w:rPr>
        <w:t xml:space="preserve">22.4  </w:t>
      </w:r>
      <w:r>
        <w:t>Termination does not permit forcible entry, trespass or unsafe recovery. The Hirer must facilitate lawful, safely coordinated return of Equipment. The Supplier must use consent or lawful process to recover it. Insolvency-related action remains subject to applicable statutory stays and other restrictions.</w:t>
      </w:r>
    </w:p>
    <w:p>
      <w:pPr>
        <w:keepLines/>
      </w:pPr>
      <w:r>
        <w:rPr>
          <w:b w:val="0"/>
        </w:rPr>
      </w:r>
      <w:r>
        <w:rPr>
          <w:b/>
        </w:rPr>
        <w:t xml:space="preserve">22.5  </w:t>
      </w:r>
      <w:r>
        <w:t>On termination, accrued lawful charges remain payable, unearned prepaid sums are refunded and assets are returned safely. Confidentiality, records, claims, ownership, payment and dispute provisions survive as needed to give them effect.</w:t>
      </w:r>
    </w:p>
    <w:p>
      <w:pPr>
        <w:pStyle w:val="Heading1"/>
      </w:pPr>
      <w:r>
        <w:t>Platform records and general provisions</w:t>
      </w:r>
    </w:p>
    <w:p>
      <w:pPr>
        <w:pStyle w:val="Heading2"/>
      </w:pPr>
      <w:r>
        <w:t>23 Events outside reasonable control</w:t>
      </w:r>
    </w:p>
    <w:p>
      <w:pPr>
        <w:keepLines/>
      </w:pPr>
      <w:r>
        <w:rPr>
          <w:b w:val="0"/>
        </w:rPr>
      </w:r>
      <w:r>
        <w:rPr>
          <w:b/>
        </w:rPr>
        <w:t xml:space="preserve">23.1  </w:t>
      </w:r>
      <w:r>
        <w:t>A party prevented from performing by an event genuinely outside its reasonable control must give prompt notice of the impact, mitigation and likely duration. Lack of funds, avoidable maintenance failure and ordinary availability errors are not excused. Supplier-caused faults remain governed by clause 15.</w:t>
      </w:r>
    </w:p>
    <w:p>
      <w:pPr>
        <w:keepLines/>
      </w:pPr>
      <w:r>
        <w:rPr>
          <w:b w:val="0"/>
        </w:rPr>
      </w:r>
      <w:r>
        <w:rPr>
          <w:b/>
        </w:rPr>
        <w:t xml:space="preserve">23.2  </w:t>
      </w:r>
      <w:r>
        <w:t>The parties must agree a practical suspension, replacement or return plan. Charges reflect actual availability and agreed standby terms; they do not accrue for Equipment the Supplier cannot provide. Either affected party may end the affected item after five Business Days of material prevention, or sooner if agreed, with refund of unearned sums and only disclosed, lawful, mitigated cancellation costs.</w:t>
      </w:r>
    </w:p>
    <w:p>
      <w:pPr>
        <w:pStyle w:val="Heading2"/>
      </w:pPr>
      <w:r>
        <w:t>24 Confidentiality privacy and data</w:t>
      </w:r>
    </w:p>
    <w:p>
      <w:pPr>
        <w:keepLines/>
      </w:pPr>
      <w:r>
        <w:rPr>
          <w:b w:val="0"/>
        </w:rPr>
      </w:r>
      <w:r>
        <w:rPr>
          <w:b/>
        </w:rPr>
        <w:t xml:space="preserve">24.1  </w:t>
      </w:r>
      <w:r>
        <w:t>Each party must protect confidential commercial information and use it only to perform or administer the Contract, manage genuine claims or comply with law. Disclosure to personnel, advisers, insurers or authorities is permitted only as reasonably necessary with suitable safeguards. Publicly available or independently developed information is excluded.</w:t>
      </w:r>
    </w:p>
    <w:p>
      <w:pPr>
        <w:keepLines/>
      </w:pPr>
      <w:r>
        <w:rPr>
          <w:b w:val="0"/>
        </w:rPr>
      </w:r>
      <w:r>
        <w:rPr>
          <w:b/>
        </w:rPr>
        <w:t xml:space="preserve">24.2  </w:t>
      </w:r>
      <w:r>
        <w:t>Collect only personal information reasonably needed for identity, authority, licence, safety, billing and claims checks. Give applicable privacy notices and use appropriate access controls, secure transfer and retention limits. Use verification outcomes instead of full identity-document copies where practicable. Each party must comply with applicable privacy and data laws.</w:t>
      </w:r>
    </w:p>
    <w:p>
      <w:pPr>
        <w:keepLines/>
      </w:pPr>
      <w:r>
        <w:rPr>
          <w:b w:val="0"/>
        </w:rPr>
      </w:r>
      <w:r>
        <w:rPr>
          <w:b/>
        </w:rPr>
        <w:t xml:space="preserve">24.3  </w:t>
      </w:r>
      <w:r>
        <w:t>GPS, telematics, cameras and remote monitoring must be disclosed before hire, with purposes, data types, access, retention and any user notification requirements. No undisclosed surveillance or unrelated marketing use is authorised. Where notice to drivers or workers is required, responsibility for delivering it must be recorded.</w:t>
      </w:r>
    </w:p>
    <w:p>
      <w:pPr>
        <w:keepLines/>
      </w:pPr>
      <w:r>
        <w:rPr>
          <w:b w:val="0"/>
        </w:rPr>
      </w:r>
      <w:r>
        <w:rPr>
          <w:b/>
        </w:rPr>
        <w:t xml:space="preserve">24.4  </w:t>
      </w:r>
      <w:r>
        <w:t>Keep accepted terms, approvals, quotes, variations, inspections, incidents, off-hire records and invoices in an exportable audit trail with user identity and timestamps. Business contract records should normally be retained for seven years after close, subject to legal requirements and holds; unnecessary personal documents and detailed tracking data require shorter justified retention.</w:t>
      </w:r>
    </w:p>
    <w:p>
      <w:pPr>
        <w:keepLines/>
      </w:pPr>
      <w:r>
        <w:rPr>
          <w:b w:val="0"/>
        </w:rPr>
      </w:r>
      <w:r>
        <w:rPr>
          <w:b/>
        </w:rPr>
        <w:t xml:space="preserve">24.5  </w:t>
      </w:r>
      <w:r>
        <w:t>A party becoming aware of a material data incident affecting the Contract must notify affected parties without undue delay, cooperate in containment and meet its own legal reporting duties. Contractual notice does not replace required regulator or individual notifications.</w:t>
      </w:r>
    </w:p>
    <w:p>
      <w:pPr>
        <w:pStyle w:val="Heading2"/>
      </w:pPr>
      <w:r>
        <w:t>25 Integrity and platform administration</w:t>
      </w:r>
    </w:p>
    <w:p>
      <w:pPr>
        <w:keepLines/>
      </w:pPr>
      <w:r>
        <w:rPr>
          <w:b w:val="0"/>
        </w:rPr>
      </w:r>
      <w:r>
        <w:rPr>
          <w:b/>
        </w:rPr>
        <w:t xml:space="preserve">25.1  </w:t>
      </w:r>
      <w:r>
        <w:t>Parties must not misrepresent qualifications, availability, pricing or asset condition, submit collusive bids, offer improper benefits or conceal relevant conflicts. VEYRA must apply its published comparison criteria consistently and disclose sponsored placement or fees where they affect a representation of ranking or value.</w:t>
      </w:r>
    </w:p>
    <w:p>
      <w:pPr>
        <w:keepLines/>
      </w:pPr>
      <w:r>
        <w:rPr>
          <w:b w:val="0"/>
        </w:rPr>
      </w:r>
      <w:r>
        <w:rPr>
          <w:b/>
        </w:rPr>
        <w:t xml:space="preserve">25.2  </w:t>
      </w:r>
      <w:r>
        <w:t>VEYRA must exercise reasonable care in recording approvals, displaying accepted charges and preserving booking records. AI-generated extraction or summaries are administrative assistance only; authorised people remain responsible for commercial acceptance, suitability and safety decisions. An automated output cannot approve a Variation or determine contested liability.</w:t>
      </w:r>
    </w:p>
    <w:p>
      <w:pPr>
        <w:keepLines/>
      </w:pPr>
      <w:r>
        <w:rPr>
          <w:b w:val="0"/>
        </w:rPr>
      </w:r>
      <w:r>
        <w:rPr>
          <w:b/>
        </w:rPr>
        <w:t xml:space="preserve">25.3  </w:t>
      </w:r>
      <w:r>
        <w:t>Verified performance information may support future sourcing with fair opportunity to correct errors. Confidential bids and identifiable personal information must not be publicly disclosed without proper authority. This framework imposes no blanket restraint on off-platform trade; any separate platform fee arrangement must be express and lawful.</w:t>
      </w:r>
    </w:p>
    <w:p>
      <w:pPr>
        <w:pStyle w:val="Heading2"/>
      </w:pPr>
      <w:r>
        <w:t>26 Disputes</w:t>
      </w:r>
    </w:p>
    <w:p>
      <w:pPr>
        <w:keepLines/>
      </w:pPr>
      <w:r>
        <w:rPr>
          <w:b w:val="0"/>
        </w:rPr>
      </w:r>
      <w:r>
        <w:rPr>
          <w:b/>
        </w:rPr>
        <w:t xml:space="preserve">26.1  </w:t>
      </w:r>
      <w:r>
        <w:t>A party must give a concise dispute notice identifying the issue, evidence and remedy sought. Operational contacts must attempt resolution within five Business Days, then authorised managers within a further five Business Days. Undisputed obligations and safety controls continue where practicable.</w:t>
      </w:r>
    </w:p>
    <w:p>
      <w:pPr>
        <w:keepLines/>
      </w:pPr>
      <w:r>
        <w:rPr>
          <w:b w:val="0"/>
        </w:rPr>
      </w:r>
      <w:r>
        <w:rPr>
          <w:b/>
        </w:rPr>
        <w:t xml:space="preserve">26.2  </w:t>
      </w:r>
      <w:r>
        <w:t>If unresolved, parties may agree an independent mediator, remote attendance and a reasonable fee allocation. This process does not prevent urgent relief, regulator reports, statutory remedies or proceedings necessary to preserve a limitation period. VEYRA may facilitate but does not finally determine liability, particularly where it has an interest.</w:t>
      </w:r>
    </w:p>
    <w:p>
      <w:pPr>
        <w:pStyle w:val="Heading2"/>
      </w:pPr>
      <w:r>
        <w:t>27 Notices law and execution</w:t>
      </w:r>
    </w:p>
    <w:p>
      <w:pPr>
        <w:keepLines/>
      </w:pPr>
      <w:r>
        <w:rPr>
          <w:b w:val="0"/>
        </w:rPr>
      </w:r>
      <w:r>
        <w:rPr>
          <w:b/>
        </w:rPr>
        <w:t xml:space="preserve">27.1  </w:t>
      </w:r>
      <w:r>
        <w:t>Notices go to the nominated platform account and email, with urgent safety notices also by the emergency contact. A notice is received when available for retrieval at the designated address without a failure message; formal notices outside business hours are treated as received on the next Business Day. Proven actual receipt prevails.</w:t>
      </w:r>
    </w:p>
    <w:p>
      <w:pPr>
        <w:keepLines/>
      </w:pPr>
      <w:r>
        <w:rPr>
          <w:b w:val="0"/>
        </w:rPr>
      </w:r>
      <w:r>
        <w:rPr>
          <w:b/>
        </w:rPr>
        <w:t xml:space="preserve">27.2  </w:t>
      </w:r>
      <w:r>
        <w:t>South Australian law governs, and its courts have non-exclusive jurisdiction, without displacing mandatory laws or rights applying to an interstate hire. No party may assign its obligations to another entity without the affected parties' reasonable consent. Permitted subcontracting does not remove responsibility.</w:t>
      </w:r>
    </w:p>
    <w:p>
      <w:pPr>
        <w:keepLines/>
      </w:pPr>
      <w:r>
        <w:rPr>
          <w:b w:val="0"/>
        </w:rPr>
      </w:r>
      <w:r>
        <w:rPr>
          <w:b/>
        </w:rPr>
        <w:t xml:space="preserve">27.3  </w:t>
      </w:r>
      <w:r>
        <w:t>This Contract is the entire agreement for the hire subject to rights relating to representations and mandatory law. An unenforceable provision is severed only to the extent possible without rewriting an unfair term or changing the essential bargain. Failure to enforce once is not a waiver.</w:t>
      </w:r>
    </w:p>
    <w:p>
      <w:pPr>
        <w:keepLines/>
      </w:pPr>
      <w:r>
        <w:rPr>
          <w:b w:val="0"/>
        </w:rPr>
      </w:r>
      <w:r>
        <w:rPr>
          <w:b/>
        </w:rPr>
        <w:t xml:space="preserve">27.4  </w:t>
      </w:r>
      <w:r>
        <w:t>Authorised representatives may sign in counterparts or electronically where lawful. Acceptance must identify the entity, person, authority, date and accepted document version. A platform record supports evidence but is not conclusive against proof of error, fraud or lack of authority.</w:t>
      </w:r>
    </w:p>
    <w:p>
      <w:pPr>
        <w:pStyle w:val="Heading1"/>
        <w:pageBreakBefore/>
      </w:pPr>
      <w:r>
        <w:t>Schedule 1 Supplier accession</w:t>
      </w:r>
    </w:p>
    <w:p>
      <w:pPr>
        <w:keepLines/>
      </w:pPr>
      <w:r>
        <w:rPr>
          <w:b w:val="0"/>
        </w:rPr>
        <w:t>Complete and accept this schedule before a Supplier is enabled for any category. These entries do not replace the category checks or individual Hire Order.</w:t>
      </w:r>
    </w:p>
    <w:tbl>
      <w:tblPr>
        <w:tblW w:type="auto" w:w="0"/>
        <w:jc w:val="center"/>
        <w:tblLayout w:type="fixed"/>
        <w:tblLook w:firstColumn="1" w:firstRow="1" w:lastColumn="0" w:lastRow="0" w:noHBand="0" w:noVBand="1" w:val="04A0"/>
      </w:tblPr>
      <w:tblGrid>
        <w:gridCol w:w="3096"/>
        <w:gridCol w:w="6840"/>
      </w:tblGrid>
      <w:tr>
        <w:trPr>
          <w:cantSplit/>
          <w:tblHeader/>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Required field</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Supplier entry</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Framework version</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[Insert accepted version and date]</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Supplier legal entity</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[Full legal name, entity type, ACN or ABN]</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Registered and trading addresses</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[Insert]</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Notice email and approver</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[Insert name, title, authority and email]</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24 hour incident contact</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[Telephone and escalation contact]</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Approved branches and categories</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[List depots, service areas and Schedule 4 modules]</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Ownership and cross hire</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[Owner details, authority and any approved cross-hire process]</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Insurance evidence</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[Policies, insured entity, limits, excesses, relevant exclusions and expiry]</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Payment details</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[Verified separately using a trusted verification channel]</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Framework commencement</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[Date]  |  Continues until ended under clause 22</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Supplier platform fees</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[Payer, trigger, amount or formula and GST; enter None if none]</w:t>
            </w:r>
          </w:p>
        </w:tc>
      </w:tr>
    </w:tbl>
    <w:p>
      <w:pPr>
        <w:keepLines/>
      </w:pPr>
      <w:r>
        <w:rPr>
          <w:b w:val="0"/>
        </w:rPr>
      </w:r>
    </w:p>
    <w:p>
      <w:pPr>
        <w:pStyle w:val="Heading2"/>
      </w:pPr>
      <w:r>
        <w:t>Proposed common service settings</w:t>
      </w:r>
    </w:p>
    <w:tbl>
      <w:tblPr>
        <w:tblW w:type="auto" w:w="0"/>
        <w:jc w:val="center"/>
        <w:tblLayout w:type="fixed"/>
        <w:tblLook w:firstColumn="1" w:firstRow="1" w:lastColumn="0" w:lastRow="0" w:noHBand="0" w:noVBand="1" w:val="04A0"/>
      </w:tblPr>
      <w:tblGrid>
        <w:gridCol w:w="3096"/>
        <w:gridCol w:w="6840"/>
      </w:tblGrid>
      <w:tr>
        <w:trPr>
          <w:cantSplit/>
          <w:tblHeader/>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Setting</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Proposed position to accept or change</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Fault acknowledgement</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Within 2 hours of receipt at the nominated incident contact</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Recovery plan</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Within 4 hours; actual repair or replacement deadline specified by booking</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Invoice payment</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30 calendar days from receipt of a proper undisputed invoice</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Visible return claims</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Normally within 5 Business Days with evidence</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Bond release</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Undisputed balance within 5 Business Days after return and reconciliation</w:t>
            </w:r>
          </w:p>
        </w:tc>
      </w:tr>
      <w:tr>
        <w:trPr>
          <w:cantSplit/>
        </w:trPr>
        <w:tc>
          <w:tcPr>
            <w:tcW w:type="dxa" w:w="309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Participation exit notice</w:t>
            </w:r>
          </w:p>
        </w:tc>
        <w:tc>
          <w:tcPr>
            <w:tcW w:type="dxa" w:w="684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30 days for future bookings; existing bookings continue</w:t>
            </w:r>
          </w:p>
        </w:tc>
      </w:tr>
    </w:tbl>
    <w:p>
      <w:pPr>
        <w:keepLines/>
      </w:pPr>
      <w:r>
        <w:rPr>
          <w:b w:val="0"/>
        </w:rPr>
      </w:r>
    </w:p>
    <w:p>
      <w:pPr>
        <w:pStyle w:val="Heading2"/>
      </w:pPr>
      <w:r>
        <w:t>Acceptance</w:t>
      </w:r>
    </w:p>
    <w:p>
      <w:pPr>
        <w:keepLines/>
      </w:pPr>
      <w:r>
        <w:rPr>
          <w:b w:val="0"/>
        </w:rPr>
        <w:t>The Supplier and VEYRA accept this framework and the completed accession particulars. They confirm the signatories have authority to bind the named entities. The Supplier agrees to use this framework for accepted VEYRA bookings and to obtain each Hirer's acceptance under clause 2.</w:t>
      </w:r>
    </w:p>
    <w:p>
      <w:pPr>
        <w:keepLines/>
      </w:pPr>
      <w:r>
        <w:rPr>
          <w:b w:val="0"/>
        </w:rPr>
        <w:t>Supplier name and title __________________  Signature ______________  Date _________</w:t>
      </w:r>
    </w:p>
    <w:p>
      <w:pPr>
        <w:keepLines/>
      </w:pPr>
      <w:r>
        <w:rPr>
          <w:b w:val="0"/>
        </w:rPr>
        <w:t>VEYRA name and title ___________________  Signature ______________  Date _________</w:t>
      </w:r>
    </w:p>
    <w:p>
      <w:pPr>
        <w:pStyle w:val="Heading1"/>
        <w:pageBreakBefore/>
      </w:pPr>
      <w:r>
        <w:t>Schedule 2 Hire Order</w:t>
      </w:r>
    </w:p>
    <w:p>
      <w:pPr>
        <w:keepLines/>
      </w:pPr>
      <w:r>
        <w:rPr>
          <w:b w:val="0"/>
        </w:rPr>
        <w:t>Order number [insert]  |  Quote reference [insert]  |  Framework version [insert]</w:t>
      </w:r>
    </w:p>
    <w:p>
      <w:pPr>
        <w:keepLines/>
      </w:pPr>
      <w:r>
        <w:rPr>
          <w:b w:val="0"/>
        </w:rPr>
        <w:t>All essential fields must be complete before confirmation. Use additional asset rows and attachments where needed. An estimate must not be represented as a confirmed all-in cost.</w:t>
      </w:r>
    </w:p>
    <w:tbl>
      <w:tblPr>
        <w:tblW w:type="auto" w:w="0"/>
        <w:jc w:val="center"/>
        <w:tblLayout w:type="fixed"/>
        <w:tblLook w:firstColumn="1" w:firstRow="1" w:lastColumn="0" w:lastRow="0" w:noHBand="0" w:noVBand="1" w:val="04A0"/>
      </w:tblPr>
      <w:tblGrid>
        <w:gridCol w:w="2952"/>
        <w:gridCol w:w="6984"/>
      </w:tblGrid>
      <w:tr>
        <w:trPr>
          <w:cantSplit/>
          <w:tblHeader/>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Required booking field</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Agreed particulars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Supplier and Hirer</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[Each full legal name, ABN or ACN, address and notice email]</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Authorised approvers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[Names, roles, spending authority and purchase order reference]</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Project and site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[Site address, state, contact, access windows and constraints]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Equipment and category</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[Asset ID, make, model, serial or VIN, registration, capacity, quantity and Schedule 4 module]</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Attachments and inclusions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[Every attachment, accessory, consumable allowance and document]</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Purpose and restrictions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[Tasks, terrain, shifts, towing, travel area and excluded activities]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Dates and time zone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[Start, end, minimum commitment and delivery or return windows]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Meter and usage basis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color w:val="000000"/>
                <w:sz w:val="19"/>
              </w:rPr>
              <w:t>70 operating hours per full hire week; four billable hours minimum each Monday to Friday for hourly hire. Record meter, part-week rules and machine-specific excess rate. Monthly: 280 hours; define 28 days or calendar month.</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Transport and assembly</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[Each leg, loading, unloading, permits, commissioning and responsible party]</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User verification</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[Required licences, verified classes and conditions, competence and site induction]</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Maintenance and response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Hirer arranges and pays all servicing. Attach intervals, next due dates, approved personnel, records and servicing downtime charges. Set incident contacts and repair response targets.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Off hire and return</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[Notice method, collection or return location, timing and custody arrangements]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Price schedule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[Attach completed Schedule 3 and the common comparison assumptions]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Cancellation</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[Trigger, calculation, maximum, mitigation and minimum commitment]</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Loss of hire claim</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[Expressly agreed cap per day and maximum days, or Not recoverable]</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Tracking</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[Devices, data, purposes, access, retention and user notice responsibility]</w:t>
            </w:r>
          </w:p>
        </w:tc>
      </w:tr>
    </w:tbl>
    <w:p>
      <w:pPr>
        <w:keepLines/>
      </w:pPr>
      <w:r>
        <w:rPr>
          <w:b w:val="0"/>
        </w:rPr>
      </w:r>
    </w:p>
    <w:p>
      <w:pPr>
        <w:pStyle w:val="Heading2"/>
      </w:pPr>
      <w:r>
        <w:t>Cost summary</w:t>
      </w:r>
    </w:p>
    <w:p>
      <w:pPr>
        <w:keepLines/>
      </w:pPr>
      <w:r>
        <w:rPr>
          <w:b w:val="0"/>
        </w:rPr>
        <w:t>Agreed fixed hire and compulsory charges excluding GST $____________</w:t>
      </w:r>
    </w:p>
    <w:p>
      <w:pPr>
        <w:keepLines/>
      </w:pPr>
      <w:r>
        <w:rPr>
          <w:b w:val="0"/>
        </w:rPr>
        <w:t>GST $____________   Confirmed fixed total including GST $____________</w:t>
      </w:r>
    </w:p>
    <w:p>
      <w:pPr>
        <w:keepLines/>
      </w:pPr>
      <w:r>
        <w:rPr>
          <w:b w:val="0"/>
        </w:rPr>
        <w:t>Optional items expressly selected $____________   Bond or pre-authorisation $____________</w:t>
      </w:r>
    </w:p>
    <w:p>
      <w:pPr>
        <w:keepLines/>
      </w:pPr>
      <w:r>
        <w:rPr>
          <w:b w:val="0"/>
        </w:rPr>
        <w:t>Conditional charges and exposure limits: [list; these are not silently included in a fixed total].</w:t>
      </w:r>
    </w:p>
    <w:p>
      <w:pPr>
        <w:pStyle w:val="Heading1"/>
        <w:pageBreakBefore/>
      </w:pPr>
      <w:r>
        <w:t>Schedule 2 Insurance and booking acceptance</w:t>
      </w:r>
    </w:p>
    <w:p>
      <w:pPr>
        <w:keepLines/>
      </w:pPr>
      <w:r>
        <w:rPr>
          <w:b w:val="0"/>
        </w:rPr>
        <w:t>Complete for the actual asset and use. Select the relevant cover arrangements; do not assume a supplier policy covers the Hirer or every activity.</w:t>
      </w:r>
    </w:p>
    <w:tbl>
      <w:tblPr>
        <w:tblW w:type="auto" w:w="0"/>
        <w:jc w:val="center"/>
        <w:tblLayout w:type="fixed"/>
        <w:tblLook w:firstColumn="1" w:firstRow="1" w:lastColumn="0" w:lastRow="0" w:noHBand="0" w:noVBand="1" w:val="04A0"/>
      </w:tblPr>
      <w:tblGrid>
        <w:gridCol w:w="2952"/>
        <w:gridCol w:w="6984"/>
      </w:tblGrid>
      <w:tr>
        <w:trPr>
          <w:cantSplit/>
          <w:tblHeader/>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Insurance matter</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Required agreed detail</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Equipment damage and theft</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Hirer: comprehensive physical loss, theft and accidental damage. Full replacement value $[amount] per asset; include attachments. Record policy, value basis and owner interest.</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Transit loading and unloading</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Hirer cover must extend to agreed transit, loading and unloading. Record carrier, route, handling and any exclusions before release.</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Registered motor vehicles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Hirer comprehensive motor property-damage cover; record statutory cover, users, towing, territory and off-road permissions.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Public and product liability</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Hirer public liability limit $[amount]. Supplier cover for its own activities. Record relevant policy references, limits and expiry.</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Workers compensation</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[Applicable employers and evidence where legally required]</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Crane and specialist risks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Confirm actual dry-hire and lifting use, erection, dismantling, recovery and site restrictions where applicable. Identify and resolve material exclusions.</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Excess and uninsured exposure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Record each excess, policy exclusion and uninsured exposure. Hirer funds its excess; contribution and uninsured liability follow clauses 17 to 19.</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Cover period and renewals</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From handover or collection until actual return or Supplier collection, including agreed transit. Record expiry, renewals and custody-extension premium allocation.</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Loss of hire insurance</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[Whether insured and any accepted contractual maximum under clause 17]</w:t>
            </w:r>
          </w:p>
        </w:tc>
      </w:tr>
      <w:tr>
        <w:trPr>
          <w:cantSplit/>
        </w:trPr>
        <w:tc>
          <w:tcPr>
            <w:tcW w:type="dxa" w:w="295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Evidence checked</w:t>
            </w:r>
          </w:p>
        </w:tc>
        <w:tc>
          <w:tcPr>
            <w:tcW w:type="dxa" w:w="69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Before release: certificates plus relevant schedules or endorsements. Record checker, date, replacement values and coverage verification. Close all material gaps.</w:t>
            </w:r>
          </w:p>
        </w:tc>
      </w:tr>
    </w:tbl>
    <w:p>
      <w:pPr>
        <w:keepLines/>
      </w:pPr>
      <w:r>
        <w:rPr>
          <w:b w:val="0"/>
        </w:rPr>
      </w:r>
    </w:p>
    <w:p>
      <w:pPr>
        <w:pStyle w:val="Heading2"/>
      </w:pPr>
      <w:r>
        <w:t>Negotiated departures</w:t>
      </w:r>
    </w:p>
    <w:p>
      <w:pPr>
        <w:keepLines/>
      </w:pPr>
      <w:r>
        <w:rPr>
          <w:b w:val="0"/>
        </w:rPr>
        <w:t>List each clause changed, exact replacement wording, reason and price or risk effect. Write None where there are no departures. A linked supplier document is not a valid departure by itself.</w:t>
      </w:r>
    </w:p>
    <w:p>
      <w:pPr>
        <w:keepLines/>
      </w:pPr>
      <w:r>
        <w:rPr>
          <w:b w:val="0"/>
        </w:rPr>
        <w:t>[Insert agreed departures or None]</w:t>
      </w:r>
    </w:p>
    <w:p>
      <w:pPr>
        <w:pStyle w:val="Heading2"/>
      </w:pPr>
      <w:r>
        <w:t>Booking acceptance</w:t>
      </w:r>
    </w:p>
    <w:p>
      <w:pPr>
        <w:keepLines/>
      </w:pPr>
      <w:r>
        <w:rPr>
          <w:b w:val="0"/>
        </w:rPr>
        <w:t>The Supplier and Hirer accept this completed Hire Order, the identified framework and attached schedules. VEYRA accepts its own express obligations and issues the booking confirmation. Each acknowledges receipt of the full accepted documents. An individual signs in an authorised representative capacity and does not give a personal guarantee.</w:t>
      </w:r>
    </w:p>
    <w:p>
      <w:pPr>
        <w:keepLines/>
      </w:pPr>
      <w:r>
        <w:rPr>
          <w:b w:val="0"/>
        </w:rPr>
        <w:t>Supplier entity ________________________  authorised person __________________</w:t>
      </w:r>
    </w:p>
    <w:p>
      <w:pPr>
        <w:keepLines/>
      </w:pPr>
      <w:r>
        <w:rPr>
          <w:b w:val="0"/>
        </w:rPr>
        <w:t>Signature or verified electronic acceptance __________________  date and time __________</w:t>
      </w:r>
    </w:p>
    <w:p>
      <w:pPr>
        <w:keepLines/>
      </w:pPr>
      <w:r>
        <w:rPr>
          <w:b w:val="0"/>
        </w:rPr>
        <w:t>Hirer entity __________________________  authorised person __________________</w:t>
      </w:r>
    </w:p>
    <w:p>
      <w:pPr>
        <w:keepLines/>
      </w:pPr>
      <w:r>
        <w:rPr>
          <w:b w:val="0"/>
        </w:rPr>
        <w:t>Signature or verified electronic acceptance __________________  date and time __________</w:t>
      </w:r>
    </w:p>
    <w:p>
      <w:pPr>
        <w:keepLines/>
      </w:pPr>
      <w:r>
        <w:rPr>
          <w:b w:val="0"/>
        </w:rPr>
        <w:t>VEYRA authorised confirmation __________________________  date and time __________</w:t>
      </w:r>
    </w:p>
    <w:p>
      <w:pPr>
        <w:keepLines/>
      </w:pPr>
      <w:r>
        <w:rPr>
          <w:b w:val="0"/>
        </w:rPr>
        <w:t>Confirmation reference __________________  accepted document version ______________</w:t>
      </w:r>
    </w:p>
    <w:p>
      <w:pPr>
        <w:pStyle w:val="Heading1"/>
        <w:pageBreakBefore/>
      </w:pPr>
      <w:r>
        <w:t>Schedule 3 Pricing and comparison schedule</w:t>
      </w:r>
    </w:p>
    <w:p>
      <w:pPr>
        <w:keepLines/>
      </w:pPr>
      <w:r>
        <w:rPr>
          <w:b w:val="0"/>
        </w:rPr>
        <w:t>Currency AUD unless expressly changed. Every applicable row must have an amount, rate or Included. State the trigger and evidence for conditional charges. Required but unresolved charges prevent confirmation. Attach more rows for multiple assets.</w:t>
      </w:r>
    </w:p>
    <w:tbl>
      <w:tblPr>
        <w:tblW w:type="auto" w:w="0"/>
        <w:jc w:val="center"/>
        <w:tblLayout w:type="fixed"/>
        <w:tblLook w:firstColumn="1" w:firstRow="1" w:lastColumn="0" w:lastRow="0" w:noHBand="0" w:noVBand="1" w:val="04A0"/>
      </w:tblPr>
      <w:tblGrid>
        <w:gridCol w:w="2376"/>
        <w:gridCol w:w="3816"/>
        <w:gridCol w:w="3744"/>
      </w:tblGrid>
      <w:tr>
        <w:trPr>
          <w:cantSplit/>
          <w:tblHeader/>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Charge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Rate or amount and basis</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Trigger and cap</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Base hire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[Hourly, daily, weekly or monthly]</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sz w:val="19"/>
              </w:rPr>
              <w:t>4-hour weekday minimum for hourly hire; included in packages.</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Included use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sz w:val="19"/>
              </w:rPr>
              <w:t>70 operating hours per week; 280 per defined monthly period.</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sz w:val="19"/>
              </w:rPr>
              <w:t>Meter evidence. Define monthly period and part-week rules.</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sz w:val="19"/>
              </w:rPr>
              <w:t>Excess hours or kilometres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sz w:val="19"/>
              </w:rPr>
              <w:t>Hours above 70: $[rate]/hour. State GST. Km allowance and excess if applicable: [insert].</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sz w:val="19"/>
              </w:rPr>
              <w:t>Weekly excess only; fractions pro rata; no duplicate monthly charge.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Weekend and holiday hire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[Included or rate]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[Calendar rules]</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Standby and weather</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[Rate or normal rate]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[Eligibility and evidence]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Delivery and collection</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[Each leg separately]</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[Distance, windows and access]</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Loading and unloading</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[Included or fixed price]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[Party and scope]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Mobilisation and permits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[Itemised price]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[Named permits and responsibility]</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Assembly and commissioning</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[Fixed scope and price]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[Qualified party and handover]</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Attachments and accessories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[Each item]</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[Quantity and included period]</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Fuel charge and fluids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[Unit price and any handling fee]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[Measured shortfall or use]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Consumable wear</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[Allowance and excess rate]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[Start and end measurement]</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Cleaning and decontamination</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[Rate and maximum]</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[Beyond agreed return standard]</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Optional waiver</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[Amount or percent and base]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[Full terms expressly accepted]</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Tolls and fines administration</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[Actual tolls and stated fee]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[Lawful allocation and evidence]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Cancellation and early return</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[Formula and maximum]</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[Notice band and mitigated loss]</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Loss of hire on damage</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[Daily cap and maximum days]</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[Actual net loss under clause 17]</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Bond or security</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[Amount and method]</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[Release rules; not hire revenue]</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VEYRA fees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[Payer, rate, calculation and GST]</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[Timing; no duplicated billing]</w:t>
            </w:r>
          </w:p>
        </w:tc>
      </w:tr>
      <w:tr>
        <w:trPr>
          <w:cantSplit/>
        </w:trPr>
        <w:tc>
          <w:tcPr>
            <w:tcW w:type="dxa" w:w="237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Other compulsory costs</w:t>
            </w:r>
          </w:p>
        </w:tc>
        <w:tc>
          <w:tcPr>
            <w:tcW w:type="dxa" w:w="381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[Itemise each or None]</w:t>
            </w:r>
          </w:p>
        </w:tc>
        <w:tc>
          <w:tcPr>
            <w:tcW w:type="dxa" w:w="37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 residual catch-all fee]</w:t>
            </w:r>
          </w:p>
        </w:tc>
      </w:tr>
    </w:tbl>
    <w:p>
      <w:pPr>
        <w:keepLines/>
      </w:pPr>
      <w:r>
        <w:rPr>
          <w:b w:val="0"/>
        </w:rPr>
      </w:r>
    </w:p>
    <w:p>
      <w:pPr>
        <w:keepLines/>
      </w:pPr>
      <w:r>
        <w:rPr>
          <w:b w:val="0"/>
        </w:rPr>
        <w:t>Quote valid until [date and time]. Availability status [confirmed reservation / unconfirmed indication]. Proposed substitution [none / specified alternative requiring acceptance].</w:t>
      </w:r>
    </w:p>
    <w:p>
      <w:pPr>
        <w:keepLines/>
      </w:pPr>
      <w:r>
        <w:t>Compare identical scope, dates, site, usage, transport and tax assumptions. Separate fixed totals, estimated variable costs and contingent exposure. Suppliers set prices independently.</w:t>
      </w:r>
    </w:p>
    <w:p>
      <w:pPr>
        <w:pStyle w:val="Heading1"/>
        <w:pageBreakBefore/>
      </w:pPr>
      <w:r>
        <w:t>Schedule 4 Equipment category requirements</w:t>
      </w:r>
    </w:p>
    <w:p>
      <w:pPr>
        <w:keepLines/>
      </w:pPr>
      <w:r>
        <w:rPr>
          <w:b w:val="0"/>
        </w:rPr>
        <w:t>Each selected module adds to the master terms. Site-specific and jurisdiction-specific requirements must be confirmed for the actual task. No category description is itself certification or permission to operate.</w:t>
      </w:r>
    </w:p>
    <w:p>
      <w:pPr>
        <w:pStyle w:val="Heading2"/>
      </w:pPr>
      <w:r>
        <w:t>Module A Tools and general portable plant</w:t>
      </w:r>
    </w:p>
    <w:p>
      <w:pPr>
        <w:keepLines/>
      </w:pPr>
      <w:r>
        <w:rPr>
          <w:b w:val="0"/>
        </w:rPr>
        <w:t>Includes drills, saws, grinders, welders, compressors, generators, pumps, lighting and comparable equipment. Record power supply, output, guards, hoses, leads, compatible accessories, batteries and chargers, noise and dust controls, and any hazardous-energy requirements. Provide applicable inspection or test evidence and electrical protection suited to the site. Do not prescribe one universal test-and-tag interval for all tools or environments.</w:t>
      </w:r>
    </w:p>
    <w:p>
      <w:pPr>
        <w:keepLines/>
      </w:pPr>
      <w:r>
        <w:rPr>
          <w:b w:val="0"/>
        </w:rPr>
        <w:t>Identify fuel or battery transport precautions, consumables and included wear. Dust-producing work must have the required extraction, suppression and task controls. Manufacturer instructions and applicable site requirements govern use.</w:t>
      </w:r>
    </w:p>
    <w:p>
      <w:pPr>
        <w:pStyle w:val="Heading2"/>
      </w:pPr>
      <w:r>
        <w:t>Module B Lifting gear and load handling equipment</w:t>
      </w:r>
    </w:p>
    <w:p>
      <w:pPr>
        <w:keepLines/>
      </w:pPr>
      <w:r>
        <w:rPr>
          <w:b w:val="0"/>
        </w:rPr>
        <w:t>Includes slings, chains, shackles, lifting beams, spreader bars, chain blocks, lever hoists and jacks. Each item or assembly needs unique identification, rated capacity or working load limit, applicable inspection status and traceable records. Record sling angles, configuration limits, derating, compatible connection points and any certification required for the actual equipment.</w:t>
      </w:r>
    </w:p>
    <w:p>
      <w:pPr>
        <w:keepLines/>
      </w:pPr>
      <w:r>
        <w:rPr>
          <w:b w:val="0"/>
        </w:rPr>
        <w:t>The Hirer must arrange competent selection and inspection before each use and suitably licensed dogging or rigging personnel where the task requires them. Transport restraint equipment must not be used as lifting gear unless expressly designed and rated for that use. Damaged or unidentifiable lifting gear must be isolated. Never treat a tag as proof that an entire lift is safe.</w:t>
      </w:r>
    </w:p>
    <w:p>
      <w:pPr>
        <w:pStyle w:val="Heading2"/>
      </w:pPr>
      <w:r>
        <w:t>Module C Excavators and earthmoving plant</w:t>
      </w:r>
    </w:p>
    <w:p>
      <w:pPr>
        <w:keepLines/>
      </w:pPr>
      <w:r>
        <w:rPr>
          <w:b w:val="0"/>
        </w:rPr>
        <w:t>Includes excavators from small units through 125 tonne machines and larger plant where approved, loaders, skid steers, backhoes, dozers, graders, rollers and dumpers. Record operating mass, dimensions, attachment mass, reach, capacity, track or tyre condition, transport configuration and lifting or tie-down points.</w:t>
      </w:r>
    </w:p>
    <w:p>
      <w:pPr>
        <w:keepLines/>
      </w:pPr>
      <w:r>
        <w:rPr>
          <w:b w:val="0"/>
        </w:rPr>
        <w:t>Record buckets, breakers, augers, quick-hitch compatibility and locking checks, guarding, visibility aids and rollover or falling-object protection where applicable. Establish site ground conditions, slope limits, service-location controls, exclusion zones, access and transport responsibilities.</w:t>
      </w:r>
    </w:p>
    <w:p>
      <w:pPr>
        <w:keepLines/>
      </w:pPr>
      <w:r>
        <w:rPr>
          <w:b w:val="0"/>
        </w:rPr>
        <w:t>Excavation competence does not automatically authorise suspended-load lifting. Lifting requires manufacturer-approved capability, load charts for the configuration, suitable lifting points and attachments, and the legally required task controls and personnel. No blanket claim is made that all excavators require a high risk work licence; verify the actual activity and jurisdiction.</w:t>
      </w:r>
    </w:p>
    <w:p>
      <w:pPr>
        <w:pStyle w:val="Heading2"/>
      </w:pPr>
      <w:r>
        <w:t>Module D Other plant and access equipment</w:t>
      </w:r>
    </w:p>
    <w:p>
      <w:pPr>
        <w:keepLines/>
      </w:pPr>
      <w:r>
        <w:rPr>
          <w:b w:val="0"/>
        </w:rPr>
        <w:t>Includes forklifts, telehandlers, elevating work platforms, trailers and specialist plant. Record the actual configuration, attachments, height or reach, load rating, stability limits, rescue arrangements and required operator authority. A different attachment may change licensing or safety requirements.</w:t>
      </w:r>
    </w:p>
    <w:p>
      <w:pPr>
        <w:keepLines/>
      </w:pPr>
      <w:r>
        <w:rPr>
          <w:b w:val="0"/>
        </w:rPr>
        <w:t>Before adding an unlisted category, identify its specific hazards, statutory registration or inspection requirements, competent users, insurance, maintenance and return criteria. Scaffold systems, pressure equipment, temporary works and specialist lifting assemblies require a specific approved addendum where the standard fields do not adequately define responsibilities.</w:t>
      </w:r>
    </w:p>
    <w:p>
      <w:pPr>
        <w:pStyle w:val="Heading1"/>
      </w:pPr>
      <w:r>
        <w:t>Vehicles and cranes</w:t>
      </w:r>
    </w:p>
    <w:p>
      <w:pPr>
        <w:pStyle w:val="Heading2"/>
      </w:pPr>
      <w:r>
        <w:t>Module E Utilities trucks and combinations</w:t>
      </w:r>
    </w:p>
    <w:p>
      <w:pPr>
        <w:keepLines/>
      </w:pPr>
      <w:r>
        <w:rPr>
          <w:b w:val="0"/>
        </w:rPr>
        <w:t>Includes 4x4 utilities, vans, rigid trucks, prime movers and permitted trailers. Record registration and VIN, GVM, GCM, axle configuration, payload, towing limits, tyres, coupling and brake compatibility, load restraints, kilometres, fuel and authorised travel area. A vehicle marketed as a ute may exceed car-licence limits; classify the actual registered vehicle and combination.</w:t>
      </w:r>
    </w:p>
    <w:tbl>
      <w:tblPr>
        <w:tblW w:type="auto" w:w="0"/>
        <w:jc w:val="center"/>
        <w:tblLayout w:type="fixed"/>
        <w:tblLook w:firstColumn="1" w:firstRow="1" w:lastColumn="0" w:lastRow="0" w:noHBand="0" w:noVBand="1" w:val="04A0"/>
      </w:tblPr>
      <w:tblGrid>
        <w:gridCol w:w="1728"/>
        <w:gridCol w:w="8208"/>
      </w:tblGrid>
      <w:tr>
        <w:trPr>
          <w:cantSplit/>
          <w:tblHeader/>
        </w:trPr>
        <w:tc>
          <w:tcPr>
            <w:tcW w:type="dxa" w:w="17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Booking class</w:t>
            </w:r>
          </w:p>
        </w:tc>
        <w:tc>
          <w:tcPr>
            <w:tcW w:type="dxa" w:w="82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Screening description only</w:t>
            </w:r>
          </w:p>
        </w:tc>
      </w:tr>
      <w:tr>
        <w:trPr>
          <w:cantSplit/>
        </w:trPr>
        <w:tc>
          <w:tcPr>
            <w:tcW w:type="dxa" w:w="17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LR</w:t>
            </w:r>
          </w:p>
        </w:tc>
        <w:tc>
          <w:tcPr>
            <w:tcW w:type="dxa" w:w="82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Light Rigid. Verify actual GVM, vehicle type and trailer entitlement.</w:t>
            </w:r>
          </w:p>
        </w:tc>
      </w:tr>
      <w:tr>
        <w:trPr>
          <w:cantSplit/>
        </w:trPr>
        <w:tc>
          <w:tcPr>
            <w:tcW w:type="dxa" w:w="17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MR</w:t>
            </w:r>
          </w:p>
        </w:tc>
        <w:tc>
          <w:tcPr>
            <w:tcW w:type="dxa" w:w="82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Medium Rigid. Verify axle configuration, GVM and trailer entitlement.</w:t>
            </w:r>
          </w:p>
        </w:tc>
      </w:tr>
      <w:tr>
        <w:trPr>
          <w:cantSplit/>
        </w:trPr>
        <w:tc>
          <w:tcPr>
            <w:tcW w:type="dxa" w:w="17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HR</w:t>
            </w:r>
          </w:p>
        </w:tc>
        <w:tc>
          <w:tcPr>
            <w:tcW w:type="dxa" w:w="82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Heavy Rigid. Verify axle configuration, vehicle type and trailer entitlement.</w:t>
            </w:r>
          </w:p>
        </w:tc>
      </w:tr>
      <w:tr>
        <w:trPr>
          <w:cantSplit/>
        </w:trPr>
        <w:tc>
          <w:tcPr>
            <w:tcW w:type="dxa" w:w="172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HC</w:t>
            </w:r>
          </w:p>
        </w:tc>
        <w:tc>
          <w:tcPr>
            <w:tcW w:type="dxa" w:w="820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Heavy Combination. Verify the prime mover or rigid-truck combination and licence conditions.</w:t>
            </w:r>
          </w:p>
        </w:tc>
      </w:tr>
    </w:tbl>
    <w:p>
      <w:pPr>
        <w:keepLines/>
      </w:pPr>
      <w:r>
        <w:rPr>
          <w:b w:val="0"/>
        </w:rPr>
      </w:r>
    </w:p>
    <w:p>
      <w:pPr>
        <w:keepLines/>
      </w:pPr>
      <w:r>
        <w:rPr>
          <w:b w:val="0"/>
        </w:rPr>
        <w:t>These labels are licence categories, not load ratings. The Supplier must identify the actual vehicle requirement; the Hirer must verify the driver's licence and conditions against current rules in the operating jurisdiction. A road licence does not replace high risk work authority for a vehicle-mounted crane or other equipment.</w:t>
      </w:r>
    </w:p>
    <w:p>
      <w:pPr>
        <w:keepLines/>
      </w:pPr>
      <w:r>
        <w:rPr>
          <w:b w:val="0"/>
        </w:rPr>
        <w:t>Each transport participant must meet duties arising from its actual function. Specify route and access permissions, mass and dimension compliance, load restraint, maintenance, scheduling and fatigue arrangements where applicable. No Contract term transfers away Chain of Responsibility duties. Apply the relevant heavy-vehicle regime, including separate requirements where the Heavy Vehicle National Law does not apply.</w:t>
      </w:r>
    </w:p>
    <w:p>
      <w:pPr>
        <w:keepLines/>
      </w:pPr>
      <w:r>
        <w:rPr>
          <w:b w:val="0"/>
        </w:rPr>
        <w:t>Tolls, infringements and driver nominations require event evidence and lawful allocation. No fine is shifted merely because the vehicle was on hire. Only a separately disclosed reasonable administration charge may be added. CTP or equivalent statutory injury cover is not a substitute for motor property-damage insurance.</w:t>
      </w:r>
    </w:p>
    <w:p>
      <w:pPr>
        <w:pStyle w:val="Heading2"/>
      </w:pPr>
      <w:r>
        <w:t>Module F Cranes and associated lifting plant</w:t>
      </w:r>
    </w:p>
    <w:p>
      <w:pPr>
        <w:keepLines/>
      </w:pPr>
      <w:r>
        <w:rPr>
          <w:b w:val="0"/>
        </w:rPr>
        <w:t>Includes mobile slewing and non-slewing cranes, crawler cranes, vehicle-loading cranes and tower cranes where approved. There is no automatic tonnage ceiling, but each crane must be separately qualified for its configuration, site and lift. Tower crane erection, dismantling and other engineered services require a specialist addendum.</w:t>
      </w:r>
    </w:p>
    <w:p>
      <w:pPr>
        <w:keepLines/>
      </w:pPr>
      <w:r>
        <w:rPr>
          <w:b w:val="0"/>
        </w:rPr>
        <w:t>Record model, serial number, rated capacity, configuration, boom and jib, counterweights, hook blocks, reeving, outriggers, mats, load charts, safety systems, inspection and maintenance records and required registrations. Identify who arranges transport permits, assembly, competent commissioning and handover.</w:t>
      </w:r>
    </w:p>
    <w:p>
      <w:pPr>
        <w:keepLines/>
      </w:pPr>
      <w:r>
        <w:rPr>
          <w:b w:val="0"/>
        </w:rPr>
        <w:t>The Hirer must arrange an appropriate lift plan, verified loads and centres of gravity, radius and configuration checks, ground bearing assessment, exclusion zones, weather and powerline controls, communications and emergency arrangements. A nominal crane capacity does not establish capacity at the actual lift radius.</w:t>
      </w:r>
    </w:p>
    <w:p>
      <w:pPr>
        <w:keepLines/>
      </w:pPr>
      <w:r>
        <w:rPr>
          <w:b w:val="0"/>
        </w:rPr>
        <w:t>The Hirer must verify the correct high risk work licence for the crane and activity, plus dogging or rigging licences where required. Slewing mobile-crane classes include C2, C6, C1 and C0; non-slewing and vehicle-loading classes have their own conditions. Verify current regulator rules and licence scope rather than relying on these labels. Competence and familiarisation remain necessary.</w:t>
      </w:r>
    </w:p>
    <w:p>
      <w:pPr>
        <w:keepLines/>
      </w:pPr>
      <w:r>
        <w:rPr>
          <w:b w:val="0"/>
        </w:rPr>
        <w:t>The Supplier provides safe Equipment and the agreed technical information. Under dry hire the Hirer arranges operators and the lift execution team. Neither allocation removes a party's actual legal duties. VEYRA does not approve engineering or lift safety merely by confirming a booking.</w:t>
      </w:r>
    </w:p>
    <w:p>
      <w:pPr>
        <w:pStyle w:val="Heading1"/>
        <w:pageBreakBefore/>
      </w:pPr>
      <w:r>
        <w:t>Schedule 5 Handover and return record</w:t>
      </w:r>
    </w:p>
    <w:p>
      <w:pPr>
        <w:keepLines/>
      </w:pPr>
      <w:r>
        <w:rPr>
          <w:b w:val="0"/>
        </w:rPr>
        <w:t>Booking __________________  Asset ID __________________  Site __________________</w:t>
      </w:r>
    </w:p>
    <w:p>
      <w:pPr>
        <w:keepLines/>
      </w:pPr>
      <w:r>
        <w:rPr>
          <w:b w:val="0"/>
        </w:rPr>
        <w:t>Record dates, times, user identities and photographs at each event. A receiver signs for condition and receipt only, unless separately authorised to approve a commercial change.</w:t>
      </w:r>
    </w:p>
    <w:tbl>
      <w:tblPr>
        <w:tblW w:type="auto" w:w="0"/>
        <w:jc w:val="center"/>
        <w:tblLayout w:type="fixed"/>
        <w:tblLook w:firstColumn="1" w:firstRow="1" w:lastColumn="0" w:lastRow="0" w:noHBand="0" w:noVBand="1" w:val="04A0"/>
      </w:tblPr>
      <w:tblGrid>
        <w:gridCol w:w="3168"/>
        <w:gridCol w:w="3384"/>
        <w:gridCol w:w="3384"/>
      </w:tblGrid>
      <w:tr>
        <w:trPr>
          <w:cantSplit/>
          <w:tblHeader/>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Inspection item</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At handover</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At return or collection</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Date time and location</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[Insert]</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[Insert]</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Make model serial or VIN</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[Insert]</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[Verify same asset]</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Hours or odometer</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[Reading and photograph]</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[Reading and photograph]</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Fuel fluids or battery</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[Level and method]</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[Level and method]</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Attachments accessories keys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[Itemised count]</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[Reconciled count]</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Tyres tracks wear items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[Measurement and images]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[Measurement and images]</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Body glass cab controls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[Condition and defects]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[Condition and differences]</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Guards and safety devices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[Check and result]</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[Check and result]</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Lifting equipment identity</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[IDs ratings and records]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[IDs and condition]</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Service inspection registration</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[Evidence and next due]</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[Updates during hire]</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Cleanliness contamination</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[Agreed baseline]</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[Return condition]</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Photographic evidence</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[File references and time]</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[File references and time]</w:t>
            </w:r>
          </w:p>
        </w:tc>
      </w:tr>
      <w:tr>
        <w:trPr>
          <w:cantSplit/>
        </w:trPr>
        <w:tc>
          <w:tcPr>
            <w:tcW w:type="dxa" w:w="3168"/>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Outstanding issues</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[Actions and owner]</w:t>
            </w:r>
          </w:p>
        </w:tc>
        <w:tc>
          <w:tcPr>
            <w:tcW w:type="dxa" w:w="338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[Actions and owner]</w:t>
            </w:r>
          </w:p>
        </w:tc>
      </w:tr>
    </w:tbl>
    <w:p>
      <w:pPr>
        <w:keepLines/>
      </w:pPr>
      <w:r>
        <w:rPr>
          <w:b w:val="0"/>
        </w:rPr>
      </w:r>
    </w:p>
    <w:p>
      <w:pPr>
        <w:pStyle w:val="Heading2"/>
      </w:pPr>
      <w:r>
        <w:t>Handover acknowledgement</w:t>
      </w:r>
    </w:p>
    <w:p>
      <w:pPr>
        <w:keepLines/>
      </w:pPr>
      <w:r>
        <w:rPr>
          <w:b w:val="0"/>
        </w:rPr>
        <w:t>Supplier representative __________________  Hirer receiver __________________</w:t>
      </w:r>
    </w:p>
    <w:p>
      <w:pPr>
        <w:keepLines/>
      </w:pPr>
      <w:r>
        <w:rPr>
          <w:b w:val="0"/>
        </w:rPr>
        <w:t>Signatures _____________________________  Date and time __________________</w:t>
      </w:r>
    </w:p>
    <w:p>
      <w:pPr>
        <w:keepLines/>
      </w:pPr>
      <w:r>
        <w:rPr>
          <w:b w:val="0"/>
        </w:rPr>
        <w:t>Equipment accepted / rejected / accepted with recorded cosmetic issues: [select and explain]. Acceptance does not waive latent defects or statutory rights.</w:t>
      </w:r>
    </w:p>
    <w:p>
      <w:pPr>
        <w:pStyle w:val="Heading2"/>
      </w:pPr>
      <w:r>
        <w:t>Off hire record</w:t>
      </w:r>
    </w:p>
    <w:p>
      <w:pPr>
        <w:keepLines/>
      </w:pPr>
      <w:r>
        <w:rPr>
          <w:b w:val="0"/>
        </w:rPr>
        <w:t>Notice sent by __________________  received at __________________</w:t>
      </w:r>
    </w:p>
    <w:p>
      <w:pPr>
        <w:keepLines/>
      </w:pPr>
      <w:r>
        <w:rPr>
          <w:b w:val="0"/>
        </w:rPr>
        <w:t>Effective requested end __________________  equipment ready at __________________</w:t>
      </w:r>
    </w:p>
    <w:p>
      <w:pPr>
        <w:keepLines/>
      </w:pPr>
      <w:r>
        <w:rPr>
          <w:b w:val="0"/>
        </w:rPr>
        <w:t>Access instructions __________________  collection or return window __________________</w:t>
      </w:r>
    </w:p>
    <w:p>
      <w:pPr>
        <w:keepLines/>
      </w:pPr>
      <w:r>
        <w:rPr>
          <w:b w:val="0"/>
        </w:rPr>
        <w:t>Actual return or collection __________________  carrier __________________</w:t>
      </w:r>
    </w:p>
    <w:p>
      <w:pPr>
        <w:keepLines/>
      </w:pPr>
      <w:r>
        <w:rPr>
          <w:b w:val="0"/>
        </w:rPr>
        <w:t>Return signatories __________________  disputed issues and evidence __________________</w:t>
      </w:r>
    </w:p>
    <w:p>
      <w:pPr>
        <w:pStyle w:val="Heading1"/>
        <w:pageBreakBefore/>
      </w:pPr>
      <w:r>
        <w:t>Schedule 6 Variation and incident records</w:t>
      </w:r>
    </w:p>
    <w:p>
      <w:pPr>
        <w:pStyle w:val="Heading2"/>
      </w:pPr>
      <w:r>
        <w:t>Variation approval record</w:t>
      </w:r>
    </w:p>
    <w:p>
      <w:pPr>
        <w:keepLines/>
      </w:pPr>
      <w:r>
        <w:rPr>
          <w:b w:val="0"/>
        </w:rPr>
        <w:t>Booking __________________  Variation number __________________</w:t>
      </w:r>
    </w:p>
    <w:p>
      <w:pPr>
        <w:keepLines/>
      </w:pPr>
      <w:r>
        <w:rPr>
          <w:b w:val="0"/>
        </w:rPr>
        <w:t>Requested by __________________  Date and time __________________</w:t>
      </w:r>
    </w:p>
    <w:p>
      <w:pPr>
        <w:keepLines/>
      </w:pPr>
      <w:r>
        <w:rPr>
          <w:b w:val="0"/>
        </w:rPr>
        <w:t>Reason and precise changed scope ______________________________________________</w:t>
      </w:r>
    </w:p>
    <w:p>
      <w:pPr>
        <w:keepLines/>
      </w:pPr>
      <w:r>
        <w:rPr>
          <w:b w:val="0"/>
        </w:rPr>
        <w:t>Asset, dates, location or task affected ____________________________________________</w:t>
      </w:r>
    </w:p>
    <w:p>
      <w:pPr>
        <w:keepLines/>
      </w:pPr>
      <w:r>
        <w:rPr>
          <w:b w:val="0"/>
        </w:rPr>
        <w:t>Additional charge or credit excluding GST $__________  GST $__________</w:t>
      </w:r>
    </w:p>
    <w:p>
      <w:pPr>
        <w:keepLines/>
      </w:pPr>
      <w:r>
        <w:rPr>
          <w:b w:val="0"/>
        </w:rPr>
        <w:t>Revised fixed total including GST $__________  conditional exposure changes __________</w:t>
      </w:r>
    </w:p>
    <w:p>
      <w:pPr>
        <w:keepLines/>
      </w:pPr>
      <w:r>
        <w:rPr>
          <w:b w:val="0"/>
        </w:rPr>
        <w:t>Timing, insurance, permit and safety implications __________________________________</w:t>
      </w:r>
    </w:p>
    <w:p>
      <w:pPr>
        <w:keepLines/>
      </w:pPr>
      <w:r>
        <w:rPr>
          <w:b w:val="0"/>
        </w:rPr>
        <w:t>Clause or schedule changed and exact replacement text ______________________________</w:t>
      </w:r>
    </w:p>
    <w:p>
      <w:pPr>
        <w:keepLines/>
      </w:pPr>
      <w:r>
        <w:rPr>
          <w:b w:val="0"/>
        </w:rPr>
        <w:t>Supplier authorised acceptance __________________  Date and time __________________</w:t>
      </w:r>
    </w:p>
    <w:p>
      <w:pPr>
        <w:keepLines/>
      </w:pPr>
      <w:r>
        <w:rPr>
          <w:b w:val="0"/>
        </w:rPr>
        <w:t>Hirer authorised acceptance _____________________  Date and time __________________</w:t>
      </w:r>
    </w:p>
    <w:p>
      <w:pPr>
        <w:keepLines/>
      </w:pPr>
      <w:r>
        <w:rPr>
          <w:b w:val="0"/>
        </w:rPr>
        <w:t>VEYRA acceptance where affected ________________  Record reference ________________</w:t>
      </w:r>
    </w:p>
    <w:p>
      <w:pPr>
        <w:keepLines/>
      </w:pPr>
      <w:r>
        <w:rPr>
          <w:b w:val="0"/>
        </w:rPr>
        <w:t>Approval must precede changed work or charging, except immediate protective action under clause 9. No unresolved variation permits unsafe operation.</w:t>
      </w:r>
    </w:p>
    <w:p>
      <w:pPr>
        <w:pStyle w:val="Heading2"/>
      </w:pPr>
      <w:r>
        <w:t>Incident and breakdown record</w:t>
      </w:r>
    </w:p>
    <w:p>
      <w:pPr>
        <w:keepLines/>
      </w:pPr>
      <w:r>
        <w:rPr>
          <w:b w:val="0"/>
        </w:rPr>
        <w:t>Booking __________________  Asset __________________  Location __________________</w:t>
      </w:r>
    </w:p>
    <w:p>
      <w:pPr>
        <w:keepLines/>
      </w:pPr>
      <w:r>
        <w:rPr>
          <w:b w:val="0"/>
        </w:rPr>
        <w:t>Incident time __________________  Report time __________________</w:t>
      </w:r>
    </w:p>
    <w:p>
      <w:pPr>
        <w:keepLines/>
      </w:pPr>
      <w:r>
        <w:rPr>
          <w:b w:val="0"/>
        </w:rPr>
        <w:t>People involved and immediate safety action ______________________________________</w:t>
      </w:r>
    </w:p>
    <w:p>
      <w:pPr>
        <w:keepLines/>
      </w:pPr>
      <w:r>
        <w:rPr>
          <w:b w:val="0"/>
        </w:rPr>
        <w:t>Description, operating conditions and observed facts _________________________________</w:t>
      </w:r>
    </w:p>
    <w:p>
      <w:pPr>
        <w:keepLines/>
      </w:pPr>
      <w:r>
        <w:rPr>
          <w:b w:val="0"/>
        </w:rPr>
        <w:t>Injury, damage, environmental impact or suspected theft _____________________________</w:t>
      </w:r>
    </w:p>
    <w:p>
      <w:pPr>
        <w:keepLines/>
      </w:pPr>
      <w:r>
        <w:rPr>
          <w:b w:val="0"/>
        </w:rPr>
        <w:t>Emergency services, police or regulator notified by whom and when ____________________</w:t>
      </w:r>
    </w:p>
    <w:p>
      <w:pPr>
        <w:keepLines/>
      </w:pPr>
      <w:r>
        <w:rPr>
          <w:b w:val="0"/>
        </w:rPr>
        <w:t>Incident site preservation and evidence references __________________________________</w:t>
      </w:r>
    </w:p>
    <w:p>
      <w:pPr>
        <w:keepLines/>
      </w:pPr>
      <w:r>
        <w:rPr>
          <w:b w:val="0"/>
        </w:rPr>
        <w:t>Supplier acknowledgement __________________  Recovery plan __________________</w:t>
      </w:r>
    </w:p>
    <w:p>
      <w:pPr>
        <w:keepLines/>
      </w:pPr>
      <w:r>
        <w:rPr>
          <w:b w:val="0"/>
        </w:rPr>
        <w:t>Hire suspension start __________________  Restoration or accepted replacement __________</w:t>
      </w:r>
    </w:p>
    <w:p>
      <w:pPr>
        <w:keepLines/>
      </w:pPr>
      <w:r>
        <w:rPr>
          <w:b w:val="0"/>
        </w:rPr>
        <w:t>Cause assessment and any disputed responsibility __________________________________</w:t>
      </w:r>
    </w:p>
    <w:p>
      <w:pPr>
        <w:keepLines/>
      </w:pPr>
      <w:r>
        <w:rPr>
          <w:b w:val="0"/>
        </w:rPr>
        <w:t>Claim documents, independent assessment and response ______________________________</w:t>
      </w:r>
    </w:p>
    <w:p>
      <w:pPr>
        <w:keepLines/>
      </w:pPr>
      <w:r>
        <w:rPr>
          <w:b w:val="0"/>
        </w:rPr>
        <w:t>Preventive actions, responsible person and completion date ___________________________</w:t>
      </w:r>
    </w:p>
    <w:p>
      <w:pPr>
        <w:keepLines/>
      </w:pPr>
      <w:r>
        <w:rPr>
          <w:b w:val="0"/>
        </w:rPr>
        <w:t>Separate factual observations from conclusions. A report or signature does not admit liability. Each duty holder must independently satisfy applicable legal reporting requirements.</w:t>
      </w:r>
    </w:p>
    <w:p>
      <w:pPr>
        <w:pStyle w:val="Heading1"/>
        <w:pageBreakBefore/>
      </w:pPr>
      <w:r>
        <w:t>Review annex Commercial decisions</w:t>
      </w:r>
    </w:p>
    <w:p>
      <w:pPr>
        <w:keepLines/>
      </w:pPr>
      <w:r>
        <w:rPr>
          <w:b/>
        </w:rPr>
        <w:t>This annex is for VEYRA and its advisers and is not part of the operative agreement. Remove it from the execution copy after the decisions and legal review are complete.</w:t>
      </w:r>
    </w:p>
    <w:p>
      <w:pPr>
        <w:keepLines/>
      </w:pPr>
      <w:r>
        <w:rPr>
          <w:b w:val="0"/>
        </w:rPr>
        <w:t>The proposed structure is a platform-administered supplier framework with a separate direct Supplier to Hirer hire contract. If VEYRA will itself own, cross-hire, resupply, operate, provide lift services or extend credit, the role, insurance and contract structure need to be revised before use.</w:t>
      </w:r>
    </w:p>
    <w:tbl>
      <w:tblPr>
        <w:tblW w:type="auto" w:w="0"/>
        <w:jc w:val="center"/>
        <w:tblLayout w:type="fixed"/>
        <w:tblLook w:firstColumn="1" w:firstRow="1" w:lastColumn="0" w:lastRow="0" w:noHBand="0" w:noVBand="1" w:val="04A0"/>
      </w:tblPr>
      <w:tblGrid>
        <w:gridCol w:w="2232"/>
        <w:gridCol w:w="7704"/>
      </w:tblGrid>
      <w:tr>
        <w:trPr>
          <w:cantSplit/>
          <w:tblHeader/>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Decision</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333333"/>
          </w:tcPr>
          <w:p>
            <w:pPr>
              <w:spacing w:after="20" w:before="20" w:line="245" w:lineRule="auto"/>
            </w:pPr>
            <w:r>
              <w:rPr>
                <w:b/>
                <w:color w:val="FFFFFF"/>
                <w:sz w:val="19"/>
              </w:rPr>
              <w:t>Draft position and next action</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Contracting entity</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Confirm the exact VEYRA legal entity, ACN or ABN, address and signing authority. Do not issue with a trading name alone.</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Rollout scope</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Australian business hire; proposed SA governing law. Check mandatory state and territory rules for each launch market. Business customers may still have ACL rights.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Common terms</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Use common scope and disclosures. Suppliers independently set rates. Make material departures visible and avoid competitor bid sharing.</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Platform fees and collection</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 fee percentage assumed. Approve payer, trigger, tax, refund rules, agent authority and payment flow before implementation.</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Loss allocation</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Hirer pays loss caused by fault or breach, including deficient servicing. Full plant insurance is mandatory. Confirm treatment of uninsured accidental loss or theft with broker and solicitor.</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Liability cap</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No general monetary cap in this version. Set proportionate risk allocation with advisers before issue; equipment values may vary from tools to major cranes.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Hirer insurance</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before="20" w:after="20" w:line="245" w:lineRule="auto"/>
            </w:pPr>
            <w:r>
              <w:rPr>
                <w:rFonts w:ascii="Arial" w:hAnsi="Arial"/>
                <w:color w:val="000000"/>
                <w:sz w:val="19"/>
              </w:rPr>
              <w:t>Require full replacement-value physical loss cover, with owner interest protected. Complete values, liability limits, excesses, exclusions and evidence. Confirm actual transit, motor and crane coverage.</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Operational service levels</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before="20" w:after="20" w:line="245" w:lineRule="auto"/>
            </w:pPr>
            <w:r>
              <w:rPr>
                <w:rFonts w:ascii="Arial" w:hAnsi="Arial"/>
                <w:color w:val="000000"/>
                <w:sz w:val="19"/>
              </w:rPr>
              <w:t>Hirer pays and arranges all servicing using competent personnel and keeps records. Supplier retains pre-existing defect and ordinary failure repairs. Agree service downtime charges and repair response targets.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Payment and off hire</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Approve 30 day invoices, five Business Day return claims and bond reconciliation, and stopping hire when Supplier collection is late.</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Minimums and cancellation</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color w:val="000000"/>
                <w:sz w:val="19"/>
              </w:rPr>
              <w:t>Four-hour weekday minimum for hourly hire; 70 operating hours per full week. Machine-specific excess rate agreed upfront. Define the 280-hour monthly period and part-week rules. Keep cancellation formulas disclosed and mitigated.</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PPSA and registrations</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Obtain advice on actual security interests, renewals, continuous possession, registration timing and priority before dispatch where relevant.</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Platform controls</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4F4F4"/>
          </w:tcPr>
          <w:p>
            <w:pPr>
              <w:spacing w:after="20" w:before="20" w:line="245" w:lineRule="auto"/>
            </w:pPr>
            <w:r>
              <w:rPr>
                <w:rFonts w:ascii="Arial" w:hAnsi="Arial"/>
                <w:b w:val="0"/>
                <w:color w:val="000000"/>
                <w:sz w:val="19"/>
              </w:rPr>
              <w:t>Implement versioned assent, authorised approvals, mandatory pricing fields, evidence expiry, incident handling, off-hire timestamps and exportable records.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Execution process</w:t>
            </w:r>
          </w:p>
        </w:tc>
        <w:tc>
          <w:tcPr>
            <w:tcW w:type="dxa" w:w="770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FFFFFF"/>
          </w:tcPr>
          <w:p>
            <w:pPr>
              <w:spacing w:after="20" w:before="20" w:line="245" w:lineRule="auto"/>
            </w:pPr>
            <w:r>
              <w:rPr>
                <w:rFonts w:ascii="Arial" w:hAnsi="Arial"/>
                <w:b w:val="0"/>
                <w:color w:val="000000"/>
                <w:sz w:val="19"/>
              </w:rPr>
              <w:t>Check entity authority and electronic acceptance. Keep the supplier accession, every Hire Order and all accepted departures together.</w:t>
            </w:r>
          </w:p>
        </w:tc>
      </w:tr>
    </w:tbl>
    <w:p>
      <w:pPr>
        <w:keepLines/>
      </w:pPr>
      <w:r>
        <w:rPr>
          <w:b w:val="0"/>
        </w:rPr>
      </w:r>
    </w:p>
    <w:p>
      <w:pPr>
        <w:pStyle w:val="Heading1"/>
        <w:pageBreakBefore/>
      </w:pPr>
      <w:r>
        <w:t>Review annex Legal basis and source register</w:t>
      </w:r>
    </w:p>
    <w:p>
      <w:pPr>
        <w:keepLines/>
      </w:pPr>
      <w:r>
        <w:rPr>
          <w:b w:val="0"/>
        </w:rPr>
        <w:t>Official guidance checked on 4 October 2026. These notes support drafting and are not a legal opinion or a guarantee of compliance. An Australian commercial solicitor should review the execution version, especially unfair terms, liability, insurance, PPSA, electronic formation and the states in which equipment will be used.</w:t>
      </w:r>
    </w:p>
    <w:p>
      <w:pPr>
        <w:pStyle w:val="Heading2"/>
      </w:pPr>
      <w:r>
        <w:t>ACCC Contracts</w:t>
      </w:r>
    </w:p>
    <w:p>
      <w:pPr>
        <w:keepLines/>
      </w:pPr>
      <w:r>
        <w:rPr>
          <w:b w:val="0"/>
        </w:rPr>
        <w:t>Standard-form small-business and consumer contracts require an unfair-terms review. The draft avoids unilateral price changes, automatic new fixed terms and broad no-fault indemnities.</w:t>
      </w:r>
    </w:p>
    <w:p>
      <w:pPr>
        <w:keepLines/>
      </w:pPr>
      <w:r>
        <w:rPr>
          <w:b w:val="0"/>
          <w:sz w:val="17"/>
        </w:rPr>
        <w:t>https://www.accc.gov.au/business/selling-products-and-services/contracts</w:t>
      </w:r>
    </w:p>
    <w:p>
      <w:pPr>
        <w:pStyle w:val="Heading2"/>
      </w:pPr>
      <w:r>
        <w:t>ACCC Consumer rights and guarantees</w:t>
      </w:r>
    </w:p>
    <w:p>
      <w:pPr>
        <w:keepLines/>
      </w:pPr>
      <w:r>
        <w:rPr>
          <w:b w:val="0"/>
        </w:rPr>
        <w:t>Business use does not automatically remove consumer guarantees. Most guarantees can apply to eligible hire transactions; preserve non-excludable remedies.</w:t>
      </w:r>
    </w:p>
    <w:p>
      <w:pPr>
        <w:keepLines/>
      </w:pPr>
      <w:r>
        <w:rPr>
          <w:b w:val="0"/>
          <w:sz w:val="17"/>
        </w:rPr>
        <w:t>https://www.accc.gov.au/consumers/buying-products-and-services/consumer-rights-and-guarantees</w:t>
      </w:r>
    </w:p>
    <w:p>
      <w:pPr>
        <w:pStyle w:val="Heading2"/>
      </w:pPr>
      <w:r>
        <w:t>Safe Work Australia Plant WHS duties</w:t>
      </w:r>
    </w:p>
    <w:p>
      <w:pPr>
        <w:keepLines/>
      </w:pPr>
      <w:r>
        <w:rPr>
          <w:b w:val="0"/>
        </w:rPr>
        <w:t>Supplier and user duties may overlap. Safety information, proper use, registration and risk controls must be allocated without attempting to transfer statutory duties. Confirm the applicable local law.</w:t>
      </w:r>
    </w:p>
    <w:p>
      <w:pPr>
        <w:keepLines/>
      </w:pPr>
      <w:r>
        <w:rPr>
          <w:b w:val="0"/>
          <w:sz w:val="17"/>
        </w:rPr>
        <w:t>https://www.safeworkaustralia.gov.au/safety-topic/managing-health-and-safety/plant-supply-design-and-registration/whs-duties</w:t>
      </w:r>
    </w:p>
    <w:p>
      <w:pPr>
        <w:pStyle w:val="Heading2"/>
      </w:pPr>
      <w:r>
        <w:t>SafeWork SA High risk work classes</w:t>
      </w:r>
    </w:p>
    <w:p>
      <w:pPr>
        <w:keepLines/>
      </w:pPr>
      <w:r>
        <w:rPr>
          <w:b w:val="0"/>
        </w:rPr>
        <w:t>Crane, dogging and rigging authority depends on the equipment and activity. Verify current licence scope, relevant conditions and competence before use.</w:t>
      </w:r>
    </w:p>
    <w:p>
      <w:pPr>
        <w:keepLines/>
      </w:pPr>
      <w:r>
        <w:rPr>
          <w:b w:val="0"/>
          <w:sz w:val="17"/>
        </w:rPr>
        <w:t>https://www.safework.sa.gov.au/licence-and-registration/apply-renew/high-risk-work-licences/hrw-classes</w:t>
      </w:r>
    </w:p>
    <w:p>
      <w:pPr>
        <w:pStyle w:val="Heading2"/>
      </w:pPr>
      <w:r>
        <w:t>SA Government Licence classes</w:t>
      </w:r>
    </w:p>
    <w:p>
      <w:pPr>
        <w:keepLines/>
      </w:pPr>
      <w:r>
        <w:rPr>
          <w:b w:val="0"/>
        </w:rPr>
        <w:t>LR, MR, HR and HC are driver-licence classifications. Match the actual vehicle, mass, axles and combination to the driver entitlement; check interstate requirements.</w:t>
      </w:r>
    </w:p>
    <w:p>
      <w:pPr>
        <w:keepLines/>
      </w:pPr>
      <w:r>
        <w:rPr>
          <w:b w:val="0"/>
          <w:sz w:val="17"/>
        </w:rPr>
        <w:t>https://www.sa.gov.au/topics/driving-and-transport/licences/licence-details/driver-s-licence-classes</w:t>
      </w:r>
    </w:p>
    <w:p>
      <w:pPr>
        <w:pStyle w:val="Heading2"/>
      </w:pPr>
      <w:r>
        <w:t>NHVR Primary Duty scope</w:t>
      </w:r>
    </w:p>
    <w:p>
      <w:pPr>
        <w:keepLines/>
      </w:pPr>
      <w:r>
        <w:rPr>
          <w:b w:val="0"/>
        </w:rPr>
        <w:t>The NHVR guidance states that a contractual arrangement cannot transfer or lessen a party's Primary Duty. Responsibilities depend on actual transport functions and influence.</w:t>
      </w:r>
    </w:p>
    <w:p>
      <w:pPr>
        <w:keepLines/>
      </w:pPr>
      <w:r>
        <w:rPr>
          <w:b w:val="0"/>
          <w:sz w:val="17"/>
        </w:rPr>
        <w:t>https://www.nhvr.gov.au/safety-accreditation-compliance/chain-of-responsibility/the-primary-duty/primary-duty-scope</w:t>
      </w:r>
    </w:p>
    <w:p>
      <w:pPr>
        <w:pStyle w:val="Heading2"/>
      </w:pPr>
      <w:r>
        <w:t>PPSR Leases bailments and consignments</w:t>
      </w:r>
    </w:p>
    <w:p>
      <w:pPr>
        <w:keepLines/>
      </w:pPr>
      <w:r>
        <w:rPr>
          <w:b w:val="0"/>
        </w:rPr>
        <w:t>Some hires create registrable security interests. The analysis includes duration and renewal rights, ongoing possession and transactions that secure obligations in substance; obtain advice on timing and priority.</w:t>
      </w:r>
    </w:p>
    <w:p>
      <w:pPr>
        <w:keepLines/>
      </w:pPr>
      <w:r>
        <w:rPr>
          <w:b w:val="0"/>
          <w:sz w:val="17"/>
        </w:rPr>
        <w:t>https://www.ppsr.gov.au/registering/decide-if-you-should-register-ppsr/leases-bailments-consignments</w:t>
      </w:r>
    </w:p>
    <w:p>
      <w:pPr>
        <w:keepLines/>
      </w:pPr>
      <w:r>
        <w:rPr>
          <w:b w:val="0"/>
        </w:rPr>
        <w:t>Additional release checks: applicable safety and heavy-vehicle legislation, plant registration and inspection requirements, privacy and workplace surveillance obligations, insurance policy wording, tax invoicing, and construction security-of-payment rules where an equipment hire falls within their scope. These are jurisdiction and transaction dependent.</w:t>
      </w:r>
    </w:p>
    <w:sectPr w:rsidR="00FC693F" w:rsidRPr="0006063C" w:rsidSect="00034616">
      <w:headerReference w:type="default" r:id="rId9"/>
      <w:footerReference w:type="default" r:id="rId10"/>
      <w:pgSz w:w="12240" w:h="15840"/>
      <w:pgMar w:top="1008" w:right="1152" w:bottom="936"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Version 0.3   |   Draft for legal review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VEYRA   |   DRY HIRE MASTER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0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VEYRA Dry Hire Master Framework Agreement</dc:title>
  <dc:subject>Australian plant equipment and vehicle hire</dc:subject>
  <dc:creator>VEYRA</dc:creator>
  <cp:keywords/>
  <dc:description>Version 0.3 assigns all in-hire servicing and comprehensive equipment insurance to the Hirer. Service downtime pricing and monthly period remain booking decisions. Supplier fault and ordinary failure provisions retained.</dc:description>
  <cp:lastModifiedBy/>
  <cp:revision>1</cp:revision>
  <dcterms:created xsi:type="dcterms:W3CDTF">2013-12-23T23:15:00Z</dcterms:created>
  <dcterms:modified xsi:type="dcterms:W3CDTF">2013-12-23T23:15:00Z</dcterms:modified>
  <cp:category/>
</cp:coreProperties>
</file>